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255BB9" w14:textId="7E8E34BE" w:rsidR="0047019C" w:rsidRDefault="000A590E" w:rsidP="00406A00">
      <w:pPr>
        <w:pStyle w:val="Heading1"/>
        <w:numPr>
          <w:ilvl w:val="0"/>
          <w:numId w:val="0"/>
        </w:numPr>
        <w:rPr>
          <w:lang w:val="es-PR"/>
        </w:rPr>
      </w:pPr>
      <w:bookmarkStart w:id="0" w:name="_Toc464179981"/>
      <w:bookmarkStart w:id="1" w:name="_GoBack"/>
      <w:bookmarkEnd w:id="1"/>
      <w:r>
        <w:rPr>
          <w:lang w:val="es-PR"/>
        </w:rPr>
        <w:t xml:space="preserve">Resumen Ejecutivo de los Principales </w:t>
      </w:r>
      <w:r w:rsidR="00E46D0A" w:rsidRPr="00E5163D">
        <w:rPr>
          <w:lang w:val="es-PR"/>
        </w:rPr>
        <w:t>Logros</w:t>
      </w:r>
      <w:bookmarkEnd w:id="0"/>
      <w:r>
        <w:rPr>
          <w:lang w:val="es-PR"/>
        </w:rPr>
        <w:t xml:space="preserve"> AAA (2013-2016)</w:t>
      </w:r>
      <w:bookmarkStart w:id="2" w:name="_Toc464179718"/>
      <w:bookmarkStart w:id="3" w:name="_Toc464179951"/>
      <w:bookmarkStart w:id="4" w:name="_Toc464179982"/>
    </w:p>
    <w:p w14:paraId="45EA1A4A" w14:textId="77777777" w:rsidR="00406A00" w:rsidRPr="00406A00" w:rsidRDefault="00406A00" w:rsidP="00406A00">
      <w:pPr>
        <w:spacing w:line="240" w:lineRule="auto"/>
        <w:rPr>
          <w:sz w:val="2"/>
          <w:lang w:val="es-PR"/>
        </w:rPr>
      </w:pPr>
    </w:p>
    <w:p w14:paraId="47336ADC" w14:textId="77777777" w:rsidR="00E2021F" w:rsidRPr="00871F3B" w:rsidRDefault="00EF6BB5" w:rsidP="00871F3B">
      <w:pPr>
        <w:jc w:val="both"/>
        <w:rPr>
          <w:rFonts w:ascii="Arial" w:hAnsi="Arial" w:cs="Arial"/>
          <w:sz w:val="24"/>
          <w:lang w:val="es-PR"/>
        </w:rPr>
      </w:pPr>
      <w:r w:rsidRPr="00871F3B">
        <w:rPr>
          <w:rFonts w:ascii="Arial" w:hAnsi="Arial" w:cs="Arial"/>
          <w:sz w:val="24"/>
          <w:lang w:val="es-PR"/>
        </w:rPr>
        <w:t>A continuación se presentan los logros principales de la Autoridad de Acueductos y Alcantarillados</w:t>
      </w:r>
      <w:r w:rsidR="002A54D1">
        <w:rPr>
          <w:rFonts w:ascii="Arial" w:hAnsi="Arial" w:cs="Arial"/>
          <w:sz w:val="24"/>
          <w:lang w:val="es-PR"/>
        </w:rPr>
        <w:t xml:space="preserve"> (AAA) </w:t>
      </w:r>
      <w:r w:rsidRPr="00871F3B">
        <w:rPr>
          <w:rFonts w:ascii="Arial" w:hAnsi="Arial" w:cs="Arial"/>
          <w:sz w:val="24"/>
          <w:lang w:val="es-PR"/>
        </w:rPr>
        <w:t xml:space="preserve"> para el cuatrienio 2013-2016, recogiendo aquellos de mayor impacto</w:t>
      </w:r>
      <w:r w:rsidR="002A54D1" w:rsidRPr="00871F3B">
        <w:rPr>
          <w:lang w:val="es-PR"/>
        </w:rPr>
        <w:t xml:space="preserve"> </w:t>
      </w:r>
      <w:r w:rsidR="002A54D1">
        <w:rPr>
          <w:rFonts w:ascii="Arial" w:hAnsi="Arial" w:cs="Arial"/>
          <w:sz w:val="24"/>
          <w:lang w:val="es-PR"/>
        </w:rPr>
        <w:t xml:space="preserve">para cumplir con el </w:t>
      </w:r>
      <w:r w:rsidR="002A54D1" w:rsidRPr="002A54D1">
        <w:rPr>
          <w:rFonts w:ascii="Arial" w:hAnsi="Arial" w:cs="Arial"/>
          <w:sz w:val="24"/>
          <w:lang w:val="es-PR"/>
        </w:rPr>
        <w:t xml:space="preserve">propósito </w:t>
      </w:r>
      <w:r w:rsidR="002A54D1">
        <w:rPr>
          <w:rFonts w:ascii="Arial" w:hAnsi="Arial" w:cs="Arial"/>
          <w:sz w:val="24"/>
          <w:lang w:val="es-PR"/>
        </w:rPr>
        <w:t>de</w:t>
      </w:r>
      <w:r w:rsidR="002A54D1" w:rsidRPr="002A54D1">
        <w:rPr>
          <w:rFonts w:ascii="Arial" w:hAnsi="Arial" w:cs="Arial"/>
          <w:sz w:val="24"/>
          <w:lang w:val="es-PR"/>
        </w:rPr>
        <w:t xml:space="preserve"> trabajar con las áreas de negocio base de la </w:t>
      </w:r>
      <w:r w:rsidR="002A54D1">
        <w:rPr>
          <w:rFonts w:ascii="Arial" w:hAnsi="Arial" w:cs="Arial"/>
          <w:sz w:val="24"/>
          <w:lang w:val="es-PR"/>
        </w:rPr>
        <w:t>AAA</w:t>
      </w:r>
      <w:r w:rsidR="002A54D1" w:rsidRPr="002A54D1">
        <w:rPr>
          <w:rFonts w:ascii="Arial" w:hAnsi="Arial" w:cs="Arial"/>
          <w:sz w:val="24"/>
          <w:lang w:val="es-PR"/>
        </w:rPr>
        <w:t xml:space="preserve"> mediante un compromiso al servicio al cliente, filtrar y tratar agua de alta calidad reduciendo a la vez los costos, el manejo de las inversiones a las mejoras capitales y alcanzar una sustentabilidad ambiental.  </w:t>
      </w:r>
    </w:p>
    <w:p w14:paraId="6045DFC2" w14:textId="77777777" w:rsidR="00FE0CE3" w:rsidRDefault="00FE0CE3" w:rsidP="00FE0CE3">
      <w:pPr>
        <w:jc w:val="both"/>
        <w:rPr>
          <w:rFonts w:ascii="Arial" w:hAnsi="Arial" w:cs="Arial"/>
          <w:b/>
          <w:sz w:val="24"/>
          <w:lang w:val="es-ES"/>
        </w:rPr>
      </w:pPr>
      <w:r w:rsidRPr="000A590E">
        <w:rPr>
          <w:rFonts w:ascii="Arial" w:hAnsi="Arial" w:cs="Arial"/>
          <w:b/>
          <w:sz w:val="24"/>
          <w:lang w:val="es-ES"/>
        </w:rPr>
        <w:t xml:space="preserve">Plan </w:t>
      </w:r>
      <w:r>
        <w:rPr>
          <w:rFonts w:ascii="Arial" w:hAnsi="Arial" w:cs="Arial"/>
          <w:b/>
          <w:sz w:val="24"/>
          <w:lang w:val="es-ES"/>
        </w:rPr>
        <w:t>E</w:t>
      </w:r>
      <w:r w:rsidRPr="000A590E">
        <w:rPr>
          <w:rFonts w:ascii="Arial" w:hAnsi="Arial" w:cs="Arial"/>
          <w:b/>
          <w:sz w:val="24"/>
          <w:lang w:val="es-ES"/>
        </w:rPr>
        <w:t>stratégico de la AAA</w:t>
      </w:r>
    </w:p>
    <w:p w14:paraId="73A600FF" w14:textId="77777777" w:rsidR="00FE0CE3" w:rsidRPr="004C4232" w:rsidRDefault="00FE0CE3" w:rsidP="00FE0CE3">
      <w:pPr>
        <w:jc w:val="both"/>
        <w:rPr>
          <w:rFonts w:ascii="Arial" w:hAnsi="Arial" w:cs="Arial"/>
          <w:sz w:val="24"/>
          <w:lang w:val="es-PR"/>
        </w:rPr>
      </w:pPr>
      <w:r w:rsidRPr="000A590E">
        <w:rPr>
          <w:rFonts w:ascii="Arial" w:hAnsi="Arial" w:cs="Arial"/>
          <w:sz w:val="24"/>
          <w:lang w:val="es-ES"/>
        </w:rPr>
        <w:t xml:space="preserve">Desarrollo e implementación de primer plan estratégico en 2013, definiendo la ruta a seguir para alcanzar la misión y visión por medio de objetivos, iniciativas y proyectos apoyados de indicadores claves de desempeño y métricas departamentales. </w:t>
      </w:r>
    </w:p>
    <w:p w14:paraId="42812994" w14:textId="77777777" w:rsidR="00FE0CE3" w:rsidRDefault="00FE0CE3" w:rsidP="00FE0CE3">
      <w:pPr>
        <w:jc w:val="both"/>
        <w:rPr>
          <w:rFonts w:ascii="Arial" w:hAnsi="Arial" w:cs="Arial"/>
          <w:b/>
          <w:sz w:val="24"/>
          <w:lang w:val="es-PR"/>
        </w:rPr>
      </w:pPr>
      <w:r w:rsidRPr="000A590E">
        <w:rPr>
          <w:rFonts w:ascii="Arial" w:hAnsi="Arial" w:cs="Arial"/>
          <w:b/>
          <w:sz w:val="24"/>
          <w:lang w:val="es-PR"/>
        </w:rPr>
        <w:t>I</w:t>
      </w:r>
      <w:r>
        <w:rPr>
          <w:rFonts w:ascii="Arial" w:hAnsi="Arial" w:cs="Arial"/>
          <w:b/>
          <w:sz w:val="24"/>
          <w:lang w:val="es-PR"/>
        </w:rPr>
        <w:t>ndicadores Claves de Desempeño</w:t>
      </w:r>
    </w:p>
    <w:p w14:paraId="7024DED1" w14:textId="77777777" w:rsidR="00FE0CE3" w:rsidRDefault="00FE0CE3" w:rsidP="00FE0CE3">
      <w:pPr>
        <w:jc w:val="both"/>
        <w:rPr>
          <w:rFonts w:ascii="Arial" w:hAnsi="Arial" w:cs="Arial"/>
          <w:sz w:val="24"/>
          <w:lang w:val="es-PR"/>
        </w:rPr>
      </w:pPr>
      <w:r w:rsidRPr="000A590E">
        <w:rPr>
          <w:rFonts w:ascii="Arial" w:hAnsi="Arial" w:cs="Arial"/>
          <w:sz w:val="24"/>
          <w:lang w:val="es-PR"/>
        </w:rPr>
        <w:t>Creación de indicadores claves de desempeño</w:t>
      </w:r>
      <w:r>
        <w:rPr>
          <w:rFonts w:ascii="Arial" w:hAnsi="Arial" w:cs="Arial"/>
          <w:sz w:val="24"/>
          <w:lang w:val="es-PR"/>
        </w:rPr>
        <w:t xml:space="preserve"> (KPIs, por sus siglas en inglés)</w:t>
      </w:r>
      <w:r w:rsidRPr="000A590E">
        <w:rPr>
          <w:rFonts w:ascii="Arial" w:hAnsi="Arial" w:cs="Arial"/>
          <w:sz w:val="24"/>
          <w:lang w:val="es-PR"/>
        </w:rPr>
        <w:t xml:space="preserve"> basado en estándares de la industria y evolución de los mismos conforme a resultados adquiridos atemperando a la realidad de la AAA.  Desarrollo de informes mensuales y trimestrales a partir del AF2014, para comunicar y proveer los resultados tanto financieros como de los Indicadores Claves de Desempeño definidos por la Autoridad.  Revisiones anuales de los indicadores para evaluar tendencias, áreas de oportunidad para mejora continua.</w:t>
      </w:r>
    </w:p>
    <w:bookmarkEnd w:id="2"/>
    <w:bookmarkEnd w:id="3"/>
    <w:bookmarkEnd w:id="4"/>
    <w:p w14:paraId="00BC04A3" w14:textId="77777777" w:rsidR="00205AD8" w:rsidRPr="00E2021F" w:rsidRDefault="00205AD8" w:rsidP="00205AD8">
      <w:pPr>
        <w:jc w:val="both"/>
        <w:rPr>
          <w:rFonts w:ascii="Arial" w:hAnsi="Arial" w:cs="Arial"/>
          <w:b/>
          <w:sz w:val="24"/>
          <w:lang w:val="es-PR"/>
        </w:rPr>
      </w:pPr>
      <w:r w:rsidRPr="00E2021F">
        <w:rPr>
          <w:rFonts w:ascii="Arial" w:hAnsi="Arial" w:cs="Arial"/>
          <w:b/>
          <w:sz w:val="24"/>
          <w:lang w:val="es-PR"/>
        </w:rPr>
        <w:t>Iniciativas de Energía</w:t>
      </w:r>
    </w:p>
    <w:p w14:paraId="480AA21A" w14:textId="77777777" w:rsidR="00205AD8" w:rsidRPr="00E2021F" w:rsidRDefault="00205AD8" w:rsidP="00205AD8">
      <w:pPr>
        <w:jc w:val="both"/>
        <w:rPr>
          <w:rFonts w:ascii="Arial" w:hAnsi="Arial" w:cs="Arial"/>
          <w:sz w:val="24"/>
          <w:lang w:val="es-PR"/>
        </w:rPr>
      </w:pPr>
      <w:r w:rsidRPr="00E2021F">
        <w:rPr>
          <w:rFonts w:ascii="Arial" w:hAnsi="Arial" w:cs="Arial"/>
          <w:sz w:val="24"/>
          <w:lang w:val="es-PR"/>
        </w:rPr>
        <w:t>Reducción de consumos/costos AEE</w:t>
      </w:r>
    </w:p>
    <w:p w14:paraId="5AF9A4D3" w14:textId="77777777" w:rsidR="00205AD8" w:rsidRDefault="00205AD8" w:rsidP="00205AD8">
      <w:pPr>
        <w:pStyle w:val="ListParagraph"/>
        <w:numPr>
          <w:ilvl w:val="0"/>
          <w:numId w:val="3"/>
        </w:numPr>
        <w:jc w:val="both"/>
        <w:rPr>
          <w:rFonts w:ascii="Arial" w:hAnsi="Arial" w:cs="Arial"/>
          <w:sz w:val="24"/>
          <w:lang w:val="es-PR"/>
        </w:rPr>
      </w:pPr>
      <w:r w:rsidRPr="00E2021F">
        <w:rPr>
          <w:rFonts w:ascii="Arial" w:hAnsi="Arial" w:cs="Arial"/>
          <w:sz w:val="24"/>
          <w:lang w:val="es-PR"/>
        </w:rPr>
        <w:t>Desde el AF12 se produjeron más de 30 Millones de kWh de energía solar (10 proyectos – 6.6 MW AC total) que generaron un ahorro acumulado de $1.4 Millones</w:t>
      </w:r>
    </w:p>
    <w:p w14:paraId="36350EBD" w14:textId="77777777" w:rsidR="00205AD8" w:rsidRDefault="00205AD8" w:rsidP="00205AD8">
      <w:pPr>
        <w:pStyle w:val="ListParagraph"/>
        <w:numPr>
          <w:ilvl w:val="0"/>
          <w:numId w:val="3"/>
        </w:numPr>
        <w:jc w:val="both"/>
        <w:rPr>
          <w:rFonts w:ascii="Arial" w:hAnsi="Arial" w:cs="Arial"/>
          <w:sz w:val="24"/>
          <w:lang w:val="es-PR"/>
        </w:rPr>
      </w:pPr>
      <w:r>
        <w:rPr>
          <w:rFonts w:ascii="Arial" w:hAnsi="Arial" w:cs="Arial"/>
          <w:sz w:val="24"/>
          <w:lang w:val="es-PR"/>
        </w:rPr>
        <w:t>S</w:t>
      </w:r>
      <w:r w:rsidRPr="00E2021F">
        <w:rPr>
          <w:rFonts w:ascii="Arial" w:hAnsi="Arial" w:cs="Arial"/>
          <w:sz w:val="24"/>
          <w:lang w:val="es-PR"/>
        </w:rPr>
        <w:t xml:space="preserve">e completaron proyectos </w:t>
      </w:r>
      <w:r>
        <w:rPr>
          <w:rFonts w:ascii="Arial" w:hAnsi="Arial" w:cs="Arial"/>
          <w:sz w:val="24"/>
          <w:lang w:val="es-PR"/>
        </w:rPr>
        <w:t xml:space="preserve">de </w:t>
      </w:r>
      <w:r w:rsidRPr="00E2021F">
        <w:rPr>
          <w:rFonts w:ascii="Arial" w:hAnsi="Arial" w:cs="Arial"/>
          <w:sz w:val="24"/>
          <w:lang w:val="es-PR"/>
        </w:rPr>
        <w:t xml:space="preserve">Rendimiento Energético </w:t>
      </w:r>
      <w:r>
        <w:rPr>
          <w:rFonts w:ascii="Arial" w:hAnsi="Arial" w:cs="Arial"/>
          <w:sz w:val="24"/>
          <w:lang w:val="es-PR"/>
        </w:rPr>
        <w:t xml:space="preserve">(“Energy Performance Contracts”) </w:t>
      </w:r>
      <w:r w:rsidRPr="00E2021F">
        <w:rPr>
          <w:rFonts w:ascii="Arial" w:hAnsi="Arial" w:cs="Arial"/>
          <w:sz w:val="24"/>
          <w:lang w:val="es-PR"/>
        </w:rPr>
        <w:t>en 3 plantas</w:t>
      </w:r>
      <w:r>
        <w:rPr>
          <w:rFonts w:ascii="Arial" w:hAnsi="Arial" w:cs="Arial"/>
          <w:sz w:val="24"/>
          <w:lang w:val="es-PR"/>
        </w:rPr>
        <w:t xml:space="preserve"> y los mismos han g</w:t>
      </w:r>
      <w:r w:rsidRPr="00E2021F">
        <w:rPr>
          <w:rFonts w:ascii="Arial" w:hAnsi="Arial" w:cs="Arial"/>
          <w:sz w:val="24"/>
          <w:lang w:val="es-PR"/>
        </w:rPr>
        <w:t>enera</w:t>
      </w:r>
      <w:r>
        <w:rPr>
          <w:rFonts w:ascii="Arial" w:hAnsi="Arial" w:cs="Arial"/>
          <w:sz w:val="24"/>
          <w:lang w:val="es-PR"/>
        </w:rPr>
        <w:t>do</w:t>
      </w:r>
      <w:r w:rsidRPr="00E2021F">
        <w:rPr>
          <w:rFonts w:ascii="Arial" w:hAnsi="Arial" w:cs="Arial"/>
          <w:sz w:val="24"/>
          <w:lang w:val="es-PR"/>
        </w:rPr>
        <w:t xml:space="preserve"> 4.4 Millones de kWh de ahorros acumulados desde el AF13.</w:t>
      </w:r>
    </w:p>
    <w:p w14:paraId="2C834B91" w14:textId="77777777" w:rsidR="00205AD8" w:rsidRDefault="00205AD8" w:rsidP="00205AD8">
      <w:pPr>
        <w:pStyle w:val="ListParagraph"/>
        <w:numPr>
          <w:ilvl w:val="0"/>
          <w:numId w:val="3"/>
        </w:numPr>
        <w:jc w:val="both"/>
        <w:rPr>
          <w:rFonts w:ascii="Arial" w:hAnsi="Arial" w:cs="Arial"/>
          <w:sz w:val="24"/>
          <w:lang w:val="es-PR"/>
        </w:rPr>
      </w:pPr>
      <w:r w:rsidRPr="00E2021F">
        <w:rPr>
          <w:rFonts w:ascii="Arial" w:hAnsi="Arial" w:cs="Arial"/>
          <w:sz w:val="24"/>
          <w:lang w:val="es-PR"/>
        </w:rPr>
        <w:t>Las optimizaciones operacionales implementadas por las regiones generaron un ahorro acumulado de 51 Millones de kWh</w:t>
      </w:r>
    </w:p>
    <w:p w14:paraId="43F6CA86" w14:textId="77777777" w:rsidR="00205AD8" w:rsidRPr="0047019C" w:rsidRDefault="00205AD8" w:rsidP="00205AD8">
      <w:pPr>
        <w:pStyle w:val="ListParagraph"/>
        <w:numPr>
          <w:ilvl w:val="0"/>
          <w:numId w:val="3"/>
        </w:numPr>
        <w:jc w:val="both"/>
        <w:rPr>
          <w:rFonts w:ascii="Arial" w:hAnsi="Arial" w:cs="Arial"/>
          <w:sz w:val="24"/>
          <w:lang w:val="es-PR"/>
        </w:rPr>
      </w:pPr>
      <w:r w:rsidRPr="00E2021F">
        <w:rPr>
          <w:rFonts w:ascii="Arial" w:hAnsi="Arial" w:cs="Arial"/>
          <w:sz w:val="24"/>
          <w:lang w:val="es-PR"/>
        </w:rPr>
        <w:t>Con</w:t>
      </w:r>
      <w:r>
        <w:rPr>
          <w:rFonts w:ascii="Arial" w:hAnsi="Arial" w:cs="Arial"/>
          <w:sz w:val="24"/>
          <w:lang w:val="es-PR"/>
        </w:rPr>
        <w:t>tando</w:t>
      </w:r>
      <w:r w:rsidRPr="00E2021F">
        <w:rPr>
          <w:rFonts w:ascii="Arial" w:hAnsi="Arial" w:cs="Arial"/>
          <w:sz w:val="24"/>
          <w:lang w:val="es-PR"/>
        </w:rPr>
        <w:t xml:space="preserve"> todas sus iniciativas, la AAA ha reducido su consumo AEE (kWh) de manera considerable a nivel isla:</w:t>
      </w:r>
      <w:r w:rsidRPr="00E2021F">
        <w:rPr>
          <w:noProof/>
          <w:lang w:val="es-PR"/>
        </w:rPr>
        <w:t xml:space="preserve"> </w:t>
      </w:r>
    </w:p>
    <w:tbl>
      <w:tblPr>
        <w:tblStyle w:val="TableGrid"/>
        <w:tblpPr w:leftFromText="180" w:rightFromText="180" w:vertAnchor="text" w:horzAnchor="page" w:tblpX="2304" w:tblpY="-9"/>
        <w:tblW w:w="0" w:type="auto"/>
        <w:tblLook w:val="04A0" w:firstRow="1" w:lastRow="0" w:firstColumn="1" w:lastColumn="0" w:noHBand="0" w:noVBand="1"/>
      </w:tblPr>
      <w:tblGrid>
        <w:gridCol w:w="2065"/>
        <w:gridCol w:w="990"/>
        <w:gridCol w:w="990"/>
        <w:gridCol w:w="1170"/>
        <w:gridCol w:w="1530"/>
      </w:tblGrid>
      <w:tr w:rsidR="004C4232" w:rsidRPr="00CF50B7" w14:paraId="257AA6C6" w14:textId="77777777" w:rsidTr="004C4232">
        <w:tc>
          <w:tcPr>
            <w:tcW w:w="2065" w:type="dxa"/>
          </w:tcPr>
          <w:p w14:paraId="7677D000" w14:textId="77777777" w:rsidR="004C4232" w:rsidRPr="00871F3B" w:rsidRDefault="004C4232" w:rsidP="004C4232">
            <w:pPr>
              <w:pStyle w:val="ListParagraph"/>
              <w:ind w:left="0"/>
              <w:jc w:val="both"/>
              <w:rPr>
                <w:rFonts w:ascii="Arial" w:hAnsi="Arial" w:cs="Arial"/>
                <w:b/>
                <w:sz w:val="20"/>
                <w:lang w:val="es-PR"/>
              </w:rPr>
            </w:pPr>
          </w:p>
        </w:tc>
        <w:tc>
          <w:tcPr>
            <w:tcW w:w="990" w:type="dxa"/>
          </w:tcPr>
          <w:p w14:paraId="6D73899B" w14:textId="77777777" w:rsidR="004C4232" w:rsidRPr="00871F3B" w:rsidRDefault="004C4232" w:rsidP="004C4232">
            <w:pPr>
              <w:pStyle w:val="ListParagraph"/>
              <w:ind w:left="0"/>
              <w:jc w:val="center"/>
              <w:rPr>
                <w:rFonts w:ascii="Arial" w:hAnsi="Arial" w:cs="Arial"/>
                <w:b/>
                <w:sz w:val="20"/>
                <w:lang w:val="es-PR"/>
              </w:rPr>
            </w:pPr>
            <w:r w:rsidRPr="00871F3B">
              <w:rPr>
                <w:rFonts w:ascii="Arial" w:hAnsi="Arial" w:cs="Arial"/>
                <w:b/>
                <w:sz w:val="20"/>
                <w:lang w:val="es-PR"/>
              </w:rPr>
              <w:t>AF2013</w:t>
            </w:r>
          </w:p>
        </w:tc>
        <w:tc>
          <w:tcPr>
            <w:tcW w:w="990" w:type="dxa"/>
          </w:tcPr>
          <w:p w14:paraId="0472F806" w14:textId="77777777" w:rsidR="004C4232" w:rsidRPr="00871F3B" w:rsidRDefault="004C4232" w:rsidP="004C4232">
            <w:pPr>
              <w:pStyle w:val="ListParagraph"/>
              <w:ind w:left="0"/>
              <w:jc w:val="center"/>
              <w:rPr>
                <w:rFonts w:ascii="Arial" w:hAnsi="Arial" w:cs="Arial"/>
                <w:b/>
                <w:sz w:val="20"/>
                <w:lang w:val="es-PR"/>
              </w:rPr>
            </w:pPr>
            <w:r w:rsidRPr="00871F3B">
              <w:rPr>
                <w:rFonts w:ascii="Arial" w:hAnsi="Arial" w:cs="Arial"/>
                <w:b/>
                <w:sz w:val="20"/>
                <w:lang w:val="es-PR"/>
              </w:rPr>
              <w:t>AF2014</w:t>
            </w:r>
          </w:p>
        </w:tc>
        <w:tc>
          <w:tcPr>
            <w:tcW w:w="1170" w:type="dxa"/>
          </w:tcPr>
          <w:p w14:paraId="49A1A345" w14:textId="77777777" w:rsidR="004C4232" w:rsidRPr="00871F3B" w:rsidRDefault="004C4232" w:rsidP="004C4232">
            <w:pPr>
              <w:pStyle w:val="ListParagraph"/>
              <w:ind w:left="0"/>
              <w:jc w:val="center"/>
              <w:rPr>
                <w:rFonts w:ascii="Arial" w:hAnsi="Arial" w:cs="Arial"/>
                <w:b/>
                <w:sz w:val="20"/>
                <w:lang w:val="es-PR"/>
              </w:rPr>
            </w:pPr>
            <w:r w:rsidRPr="00871F3B">
              <w:rPr>
                <w:rFonts w:ascii="Arial" w:hAnsi="Arial" w:cs="Arial"/>
                <w:b/>
                <w:sz w:val="20"/>
                <w:lang w:val="es-PR"/>
              </w:rPr>
              <w:t>AF2015</w:t>
            </w:r>
          </w:p>
        </w:tc>
        <w:tc>
          <w:tcPr>
            <w:tcW w:w="1530" w:type="dxa"/>
          </w:tcPr>
          <w:p w14:paraId="59016488" w14:textId="77777777" w:rsidR="004C4232" w:rsidRPr="00871F3B" w:rsidRDefault="004C4232" w:rsidP="004C4232">
            <w:pPr>
              <w:pStyle w:val="ListParagraph"/>
              <w:ind w:left="0"/>
              <w:jc w:val="center"/>
              <w:rPr>
                <w:rFonts w:ascii="Arial" w:hAnsi="Arial" w:cs="Arial"/>
                <w:b/>
                <w:sz w:val="20"/>
                <w:lang w:val="es-PR"/>
              </w:rPr>
            </w:pPr>
            <w:r w:rsidRPr="00871F3B">
              <w:rPr>
                <w:rFonts w:ascii="Arial" w:hAnsi="Arial" w:cs="Arial"/>
                <w:b/>
                <w:sz w:val="20"/>
                <w:lang w:val="es-PR"/>
              </w:rPr>
              <w:t>AF2016</w:t>
            </w:r>
          </w:p>
        </w:tc>
      </w:tr>
      <w:tr w:rsidR="004C4232" w:rsidRPr="00CF50B7" w14:paraId="03A9361B" w14:textId="77777777" w:rsidTr="004C4232">
        <w:tc>
          <w:tcPr>
            <w:tcW w:w="2065" w:type="dxa"/>
          </w:tcPr>
          <w:p w14:paraId="6D5CCCF3" w14:textId="77777777" w:rsidR="004C4232" w:rsidRPr="00871F3B" w:rsidRDefault="004C4232" w:rsidP="004C4232">
            <w:pPr>
              <w:pStyle w:val="ListParagraph"/>
              <w:ind w:left="0"/>
              <w:jc w:val="both"/>
              <w:rPr>
                <w:rFonts w:ascii="Arial" w:hAnsi="Arial" w:cs="Arial"/>
                <w:b/>
                <w:sz w:val="20"/>
                <w:lang w:val="es-PR"/>
              </w:rPr>
            </w:pPr>
            <w:r w:rsidRPr="00871F3B">
              <w:rPr>
                <w:rFonts w:ascii="Arial" w:hAnsi="Arial" w:cs="Arial"/>
                <w:b/>
                <w:sz w:val="20"/>
                <w:lang w:val="es-PR"/>
              </w:rPr>
              <w:t>Consumo Energético (MkWh)</w:t>
            </w:r>
          </w:p>
        </w:tc>
        <w:tc>
          <w:tcPr>
            <w:tcW w:w="990" w:type="dxa"/>
          </w:tcPr>
          <w:p w14:paraId="1C2F6A02" w14:textId="77777777" w:rsidR="004C4232" w:rsidRPr="00871F3B" w:rsidRDefault="004C4232" w:rsidP="004C4232">
            <w:pPr>
              <w:pStyle w:val="ListParagraph"/>
              <w:ind w:left="0"/>
              <w:jc w:val="center"/>
              <w:rPr>
                <w:rFonts w:ascii="Arial" w:hAnsi="Arial" w:cs="Arial"/>
                <w:sz w:val="20"/>
                <w:lang w:val="es-PR"/>
              </w:rPr>
            </w:pPr>
            <w:r w:rsidRPr="00871F3B">
              <w:rPr>
                <w:rFonts w:ascii="Arial" w:hAnsi="Arial" w:cs="Arial"/>
                <w:sz w:val="20"/>
                <w:lang w:val="es-PR"/>
              </w:rPr>
              <w:t>743</w:t>
            </w:r>
          </w:p>
        </w:tc>
        <w:tc>
          <w:tcPr>
            <w:tcW w:w="990" w:type="dxa"/>
          </w:tcPr>
          <w:p w14:paraId="62029F93" w14:textId="77777777" w:rsidR="004C4232" w:rsidRPr="00871F3B" w:rsidRDefault="004C4232" w:rsidP="004C4232">
            <w:pPr>
              <w:pStyle w:val="ListParagraph"/>
              <w:ind w:left="0"/>
              <w:jc w:val="center"/>
              <w:rPr>
                <w:rFonts w:ascii="Arial" w:hAnsi="Arial" w:cs="Arial"/>
                <w:sz w:val="20"/>
                <w:lang w:val="es-PR"/>
              </w:rPr>
            </w:pPr>
            <w:r w:rsidRPr="00871F3B">
              <w:rPr>
                <w:rFonts w:ascii="Arial" w:hAnsi="Arial" w:cs="Arial"/>
                <w:sz w:val="20"/>
                <w:lang w:val="es-PR"/>
              </w:rPr>
              <w:t>721</w:t>
            </w:r>
          </w:p>
        </w:tc>
        <w:tc>
          <w:tcPr>
            <w:tcW w:w="1170" w:type="dxa"/>
          </w:tcPr>
          <w:p w14:paraId="19B0A3DF" w14:textId="77777777" w:rsidR="004C4232" w:rsidRPr="00871F3B" w:rsidRDefault="004C4232" w:rsidP="004C4232">
            <w:pPr>
              <w:pStyle w:val="ListParagraph"/>
              <w:ind w:left="0"/>
              <w:jc w:val="center"/>
              <w:rPr>
                <w:rFonts w:ascii="Arial" w:hAnsi="Arial" w:cs="Arial"/>
                <w:sz w:val="20"/>
                <w:lang w:val="es-PR"/>
              </w:rPr>
            </w:pPr>
            <w:r w:rsidRPr="00871F3B">
              <w:rPr>
                <w:rFonts w:ascii="Arial" w:hAnsi="Arial" w:cs="Arial"/>
                <w:sz w:val="20"/>
                <w:lang w:val="es-PR"/>
              </w:rPr>
              <w:t>682</w:t>
            </w:r>
          </w:p>
        </w:tc>
        <w:tc>
          <w:tcPr>
            <w:tcW w:w="1530" w:type="dxa"/>
          </w:tcPr>
          <w:p w14:paraId="288B50D8" w14:textId="77777777" w:rsidR="004C4232" w:rsidRPr="00871F3B" w:rsidRDefault="004C4232" w:rsidP="004C4232">
            <w:pPr>
              <w:pStyle w:val="ListParagraph"/>
              <w:ind w:left="0"/>
              <w:jc w:val="center"/>
              <w:rPr>
                <w:rFonts w:ascii="Arial" w:hAnsi="Arial" w:cs="Arial"/>
                <w:sz w:val="20"/>
                <w:lang w:val="es-PR"/>
              </w:rPr>
            </w:pPr>
            <w:r w:rsidRPr="00871F3B">
              <w:rPr>
                <w:rFonts w:ascii="Arial" w:hAnsi="Arial" w:cs="Arial"/>
                <w:sz w:val="20"/>
                <w:lang w:val="es-PR"/>
              </w:rPr>
              <w:t>622</w:t>
            </w:r>
            <w:r>
              <w:rPr>
                <w:rFonts w:ascii="Arial" w:hAnsi="Arial" w:cs="Arial"/>
                <w:sz w:val="20"/>
                <w:lang w:val="es-PR"/>
              </w:rPr>
              <w:t>*</w:t>
            </w:r>
          </w:p>
        </w:tc>
      </w:tr>
      <w:tr w:rsidR="004C4232" w:rsidRPr="00CF50B7" w14:paraId="442BAEA4" w14:textId="77777777" w:rsidTr="004C4232">
        <w:tc>
          <w:tcPr>
            <w:tcW w:w="2065" w:type="dxa"/>
          </w:tcPr>
          <w:p w14:paraId="0D8D4FCD" w14:textId="2949F8D8" w:rsidR="004C4232" w:rsidRPr="00871F3B" w:rsidRDefault="004C4232" w:rsidP="004C4232">
            <w:pPr>
              <w:pStyle w:val="ListParagraph"/>
              <w:ind w:left="0"/>
              <w:rPr>
                <w:rFonts w:ascii="Arial" w:hAnsi="Arial" w:cs="Arial"/>
                <w:b/>
                <w:sz w:val="20"/>
                <w:lang w:val="es-PR"/>
              </w:rPr>
            </w:pPr>
            <w:r>
              <w:rPr>
                <w:rFonts w:ascii="Arial" w:hAnsi="Arial" w:cs="Arial"/>
                <w:b/>
                <w:sz w:val="20"/>
                <w:lang w:val="es-PR"/>
              </w:rPr>
              <w:t xml:space="preserve">Ahorro </w:t>
            </w:r>
            <w:r w:rsidRPr="00871F3B">
              <w:rPr>
                <w:rFonts w:ascii="Arial" w:hAnsi="Arial" w:cs="Arial"/>
                <w:b/>
                <w:sz w:val="20"/>
                <w:lang w:val="es-PR"/>
              </w:rPr>
              <w:t>Anual ($ millones)</w:t>
            </w:r>
          </w:p>
        </w:tc>
        <w:tc>
          <w:tcPr>
            <w:tcW w:w="990" w:type="dxa"/>
          </w:tcPr>
          <w:p w14:paraId="013B2279" w14:textId="77777777" w:rsidR="004C4232" w:rsidRPr="00871F3B" w:rsidRDefault="004C4232" w:rsidP="004C4232">
            <w:pPr>
              <w:pStyle w:val="ListParagraph"/>
              <w:ind w:left="0"/>
              <w:jc w:val="center"/>
              <w:rPr>
                <w:rFonts w:ascii="Arial" w:hAnsi="Arial" w:cs="Arial"/>
                <w:sz w:val="20"/>
                <w:lang w:val="es-PR"/>
              </w:rPr>
            </w:pPr>
          </w:p>
        </w:tc>
        <w:tc>
          <w:tcPr>
            <w:tcW w:w="990" w:type="dxa"/>
          </w:tcPr>
          <w:p w14:paraId="54A63BDF" w14:textId="77777777" w:rsidR="004C4232" w:rsidRPr="00871F3B" w:rsidRDefault="004C4232" w:rsidP="004C4232">
            <w:pPr>
              <w:pStyle w:val="ListParagraph"/>
              <w:ind w:left="0"/>
              <w:jc w:val="center"/>
              <w:rPr>
                <w:rFonts w:ascii="Arial" w:hAnsi="Arial" w:cs="Arial"/>
                <w:sz w:val="20"/>
                <w:lang w:val="es-PR"/>
              </w:rPr>
            </w:pPr>
            <w:r w:rsidRPr="00871F3B">
              <w:rPr>
                <w:rFonts w:ascii="Arial" w:hAnsi="Arial" w:cs="Arial"/>
                <w:sz w:val="20"/>
                <w:lang w:val="es-PR"/>
              </w:rPr>
              <w:t>$4.8</w:t>
            </w:r>
          </w:p>
        </w:tc>
        <w:tc>
          <w:tcPr>
            <w:tcW w:w="1170" w:type="dxa"/>
          </w:tcPr>
          <w:p w14:paraId="0853B188" w14:textId="77777777" w:rsidR="004C4232" w:rsidRPr="00871F3B" w:rsidRDefault="004C4232" w:rsidP="004C4232">
            <w:pPr>
              <w:pStyle w:val="ListParagraph"/>
              <w:ind w:left="0"/>
              <w:jc w:val="center"/>
              <w:rPr>
                <w:rFonts w:ascii="Arial" w:hAnsi="Arial" w:cs="Arial"/>
                <w:sz w:val="20"/>
                <w:lang w:val="es-PR"/>
              </w:rPr>
            </w:pPr>
            <w:r w:rsidRPr="00871F3B">
              <w:rPr>
                <w:rFonts w:ascii="Arial" w:hAnsi="Arial" w:cs="Arial"/>
                <w:sz w:val="20"/>
                <w:lang w:val="es-PR"/>
              </w:rPr>
              <w:t>$8.6</w:t>
            </w:r>
          </w:p>
        </w:tc>
        <w:tc>
          <w:tcPr>
            <w:tcW w:w="1530" w:type="dxa"/>
          </w:tcPr>
          <w:p w14:paraId="0DCE7358" w14:textId="77777777" w:rsidR="004C4232" w:rsidRPr="00871F3B" w:rsidRDefault="004C4232" w:rsidP="004C4232">
            <w:pPr>
              <w:pStyle w:val="ListParagraph"/>
              <w:ind w:left="0"/>
              <w:jc w:val="center"/>
              <w:rPr>
                <w:rFonts w:ascii="Arial" w:hAnsi="Arial" w:cs="Arial"/>
                <w:sz w:val="20"/>
                <w:lang w:val="es-PR"/>
              </w:rPr>
            </w:pPr>
            <w:r w:rsidRPr="00871F3B">
              <w:rPr>
                <w:rFonts w:ascii="Arial" w:hAnsi="Arial" w:cs="Arial"/>
                <w:sz w:val="20"/>
                <w:lang w:val="es-PR"/>
              </w:rPr>
              <w:t>$13.4</w:t>
            </w:r>
          </w:p>
        </w:tc>
      </w:tr>
    </w:tbl>
    <w:p w14:paraId="5F3B697B" w14:textId="77777777" w:rsidR="00205AD8" w:rsidRPr="0047019C" w:rsidRDefault="00205AD8" w:rsidP="00205AD8">
      <w:pPr>
        <w:ind w:left="360"/>
        <w:jc w:val="both"/>
        <w:rPr>
          <w:rFonts w:ascii="Arial" w:hAnsi="Arial" w:cs="Arial"/>
          <w:sz w:val="24"/>
          <w:lang w:val="es-PR"/>
        </w:rPr>
      </w:pPr>
    </w:p>
    <w:p w14:paraId="054A8BA6" w14:textId="77777777" w:rsidR="00205AD8" w:rsidRDefault="00205AD8" w:rsidP="00205AD8">
      <w:pPr>
        <w:jc w:val="both"/>
        <w:rPr>
          <w:rFonts w:ascii="Arial" w:hAnsi="Arial" w:cs="Arial"/>
          <w:b/>
          <w:sz w:val="24"/>
          <w:lang w:val="es-PR"/>
        </w:rPr>
      </w:pPr>
    </w:p>
    <w:p w14:paraId="11324E0A" w14:textId="77777777" w:rsidR="004C4232" w:rsidRDefault="004C4232" w:rsidP="004C4232">
      <w:pPr>
        <w:rPr>
          <w:rFonts w:ascii="Arial" w:hAnsi="Arial" w:cs="Arial"/>
          <w:b/>
          <w:sz w:val="24"/>
          <w:lang w:val="es-PR"/>
        </w:rPr>
      </w:pPr>
    </w:p>
    <w:p w14:paraId="6CE3C186" w14:textId="77777777" w:rsidR="004C4232" w:rsidRDefault="004C4232" w:rsidP="004C4232">
      <w:pPr>
        <w:ind w:firstLine="720"/>
        <w:rPr>
          <w:rFonts w:ascii="Arial" w:hAnsi="Arial" w:cs="Arial"/>
          <w:sz w:val="16"/>
          <w:lang w:val="es-PR"/>
        </w:rPr>
      </w:pPr>
      <w:r>
        <w:rPr>
          <w:rFonts w:ascii="Arial" w:hAnsi="Arial" w:cs="Arial"/>
          <w:b/>
          <w:sz w:val="24"/>
          <w:lang w:val="es-PR"/>
        </w:rPr>
        <w:t xml:space="preserve">   </w:t>
      </w:r>
      <w:r w:rsidR="00205AD8" w:rsidRPr="004C4232">
        <w:rPr>
          <w:rFonts w:ascii="Arial" w:hAnsi="Arial" w:cs="Arial"/>
          <w:sz w:val="16"/>
          <w:lang w:val="es-PR"/>
        </w:rPr>
        <w:t>*Incluye periodo de sequía</w:t>
      </w:r>
    </w:p>
    <w:p w14:paraId="116EC550" w14:textId="77777777" w:rsidR="00FE0CE3" w:rsidRDefault="00FE0CE3" w:rsidP="004C4232">
      <w:pPr>
        <w:rPr>
          <w:rFonts w:ascii="Arial" w:hAnsi="Arial" w:cs="Arial"/>
          <w:b/>
          <w:sz w:val="24"/>
          <w:lang w:val="es-PR"/>
        </w:rPr>
      </w:pPr>
    </w:p>
    <w:p w14:paraId="507AD595" w14:textId="788428D0" w:rsidR="00205AD8" w:rsidRPr="004C4232" w:rsidRDefault="00205AD8" w:rsidP="004C4232">
      <w:pPr>
        <w:rPr>
          <w:rFonts w:ascii="Arial" w:hAnsi="Arial" w:cs="Arial"/>
          <w:sz w:val="16"/>
          <w:lang w:val="es-PR"/>
        </w:rPr>
      </w:pPr>
      <w:r w:rsidRPr="00E2021F">
        <w:rPr>
          <w:rFonts w:ascii="Arial" w:hAnsi="Arial" w:cs="Arial"/>
          <w:b/>
          <w:sz w:val="24"/>
          <w:lang w:val="es-PR"/>
        </w:rPr>
        <w:lastRenderedPageBreak/>
        <w:t>R</w:t>
      </w:r>
      <w:r>
        <w:rPr>
          <w:rFonts w:ascii="Arial" w:hAnsi="Arial" w:cs="Arial"/>
          <w:b/>
          <w:sz w:val="24"/>
          <w:lang w:val="es-PR"/>
        </w:rPr>
        <w:t>educción de agua no facturada (ANF)</w:t>
      </w:r>
    </w:p>
    <w:p w14:paraId="13609231" w14:textId="77777777" w:rsidR="00205AD8" w:rsidRPr="00E2021F" w:rsidRDefault="00205AD8" w:rsidP="00205AD8">
      <w:pPr>
        <w:jc w:val="both"/>
        <w:rPr>
          <w:rFonts w:ascii="Arial" w:hAnsi="Arial" w:cs="Arial"/>
          <w:sz w:val="24"/>
          <w:lang w:val="es-PR"/>
        </w:rPr>
      </w:pPr>
      <w:r>
        <w:rPr>
          <w:rFonts w:ascii="Arial" w:hAnsi="Arial" w:cs="Arial"/>
          <w:sz w:val="24"/>
          <w:lang w:val="es-PR"/>
        </w:rPr>
        <w:t>Históricamente, el ANF en la AAA ha aumentado continuamente.  No obstante, a partir del 2013, se ha demostrado una tendencia clara a reducir, de un máximo histórico de 64.5% en el 2011 a 55.1% en el 2015.  Más impactante aún, l</w:t>
      </w:r>
      <w:r w:rsidRPr="00E2021F">
        <w:rPr>
          <w:rFonts w:ascii="Arial" w:hAnsi="Arial" w:cs="Arial"/>
          <w:sz w:val="24"/>
          <w:lang w:val="es-PR"/>
        </w:rPr>
        <w:t xml:space="preserve">a AAA ha reducido el volumen de ANF entre los años fiscales (AF) 2012-2015 </w:t>
      </w:r>
      <w:r w:rsidRPr="00BC35C3">
        <w:rPr>
          <w:rFonts w:ascii="Arial" w:hAnsi="Arial" w:cs="Arial"/>
          <w:sz w:val="24"/>
          <w:lang w:val="es-PR"/>
        </w:rPr>
        <w:t xml:space="preserve">de </w:t>
      </w:r>
      <w:r w:rsidRPr="00871F3B">
        <w:rPr>
          <w:rFonts w:ascii="Arial" w:hAnsi="Arial" w:cs="Arial"/>
          <w:sz w:val="24"/>
          <w:lang w:val="es-PR"/>
        </w:rPr>
        <w:t>399 a 307</w:t>
      </w:r>
      <w:r w:rsidRPr="00BC35C3">
        <w:rPr>
          <w:rFonts w:ascii="Arial" w:hAnsi="Arial" w:cs="Arial"/>
          <w:sz w:val="24"/>
          <w:lang w:val="es-PR"/>
        </w:rPr>
        <w:t xml:space="preserve"> (-23%) Millones de Galones Diarios (MGD), o el volumen equivalente a</w:t>
      </w:r>
      <w:r w:rsidRPr="00EF6BB5">
        <w:rPr>
          <w:rFonts w:ascii="Arial" w:hAnsi="Arial" w:cs="Arial"/>
          <w:sz w:val="24"/>
          <w:lang w:val="es-PR"/>
        </w:rPr>
        <w:t xml:space="preserve"> la producción</w:t>
      </w:r>
      <w:r>
        <w:rPr>
          <w:rFonts w:ascii="Arial" w:hAnsi="Arial" w:cs="Arial"/>
          <w:sz w:val="24"/>
          <w:lang w:val="es-PR"/>
        </w:rPr>
        <w:t xml:space="preserve"> del Superacueducto</w:t>
      </w:r>
      <w:r w:rsidRPr="00E2021F">
        <w:rPr>
          <w:rFonts w:ascii="Arial" w:hAnsi="Arial" w:cs="Arial"/>
          <w:sz w:val="24"/>
          <w:lang w:val="es-PR"/>
        </w:rPr>
        <w:t xml:space="preserve">. </w:t>
      </w:r>
    </w:p>
    <w:p w14:paraId="1536CCD9" w14:textId="77777777" w:rsidR="004C4232" w:rsidRDefault="00205AD8" w:rsidP="004C4232">
      <w:pPr>
        <w:jc w:val="center"/>
        <w:rPr>
          <w:rFonts w:ascii="Arial" w:hAnsi="Arial" w:cs="Arial"/>
          <w:b/>
          <w:sz w:val="24"/>
          <w:lang w:val="es-ES"/>
        </w:rPr>
      </w:pPr>
      <w:r>
        <w:rPr>
          <w:noProof/>
          <w:lang w:eastAsia="en-US"/>
        </w:rPr>
        <w:drawing>
          <wp:inline distT="0" distB="0" distL="0" distR="0" wp14:anchorId="5F0DAEE4" wp14:editId="2AFB3F2A">
            <wp:extent cx="4334256" cy="1849271"/>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34256" cy="1849271"/>
                    </a:xfrm>
                    <a:prstGeom prst="rect">
                      <a:avLst/>
                    </a:prstGeom>
                    <a:noFill/>
                  </pic:spPr>
                </pic:pic>
              </a:graphicData>
            </a:graphic>
          </wp:inline>
        </w:drawing>
      </w:r>
    </w:p>
    <w:p w14:paraId="151E6170" w14:textId="0AB0017C" w:rsidR="004C4232" w:rsidRPr="004C4232" w:rsidRDefault="004C4232" w:rsidP="004C4232">
      <w:pPr>
        <w:jc w:val="both"/>
        <w:rPr>
          <w:rFonts w:ascii="Arial" w:hAnsi="Arial" w:cs="Arial"/>
          <w:sz w:val="24"/>
          <w:lang w:val="es-PR"/>
        </w:rPr>
      </w:pPr>
      <w:r w:rsidRPr="004C4232">
        <w:rPr>
          <w:rFonts w:ascii="Arial" w:hAnsi="Arial" w:cs="Arial"/>
          <w:b/>
          <w:sz w:val="24"/>
          <w:lang w:val="es-PR"/>
        </w:rPr>
        <w:t>Manejo de Capacidad Laboral</w:t>
      </w:r>
    </w:p>
    <w:p w14:paraId="69EAF58B" w14:textId="77777777" w:rsidR="00FE0CE3" w:rsidRDefault="004C4232" w:rsidP="00FE0CE3">
      <w:pPr>
        <w:jc w:val="both"/>
        <w:rPr>
          <w:rFonts w:ascii="Arial" w:hAnsi="Arial" w:cs="Arial"/>
          <w:b/>
          <w:sz w:val="24"/>
          <w:szCs w:val="24"/>
          <w:lang w:val="es-ES"/>
        </w:rPr>
      </w:pPr>
      <w:r w:rsidRPr="000A590E">
        <w:rPr>
          <w:rFonts w:ascii="Arial" w:hAnsi="Arial" w:cs="Arial"/>
          <w:sz w:val="24"/>
          <w:lang w:val="es-PR"/>
        </w:rPr>
        <w:t>La</w:t>
      </w:r>
      <w:r w:rsidRPr="000A590E">
        <w:rPr>
          <w:rFonts w:ascii="Arial" w:hAnsi="Arial" w:cs="Arial"/>
          <w:sz w:val="24"/>
          <w:lang w:val="es-ES"/>
        </w:rPr>
        <w:t xml:space="preserve"> AAA completó en 2014 un análisis de capacidad de recursos humanos en toda la empresa, lo que determinó la cantidad óptima de personal para cada departamento en base a tiempos y frecuencias para cada actividad que debe ser realizada. Utilizando el resultado de dicho análisis, la determinación de la AAA para nuevos reclutamientos son guiados por una herramienta que asiste en la toma de decisiones (</w:t>
      </w:r>
      <w:r w:rsidRPr="00871F3B">
        <w:rPr>
          <w:rFonts w:ascii="Arial" w:hAnsi="Arial" w:cs="Arial"/>
          <w:i/>
          <w:sz w:val="24"/>
          <w:lang w:val="es-ES"/>
        </w:rPr>
        <w:t>SmartCap</w:t>
      </w:r>
      <w:r w:rsidRPr="000A590E">
        <w:rPr>
          <w:rFonts w:ascii="Arial" w:hAnsi="Arial" w:cs="Arial"/>
          <w:sz w:val="24"/>
          <w:lang w:val="es-ES"/>
        </w:rPr>
        <w:t>) analizando la solicitud de posición contra la necesidad. La herramienta permite poder identificar oportunidades de movimientos dentro de la agencia buscando mantener el balance óptimo en la utilización de los recursos humanos</w:t>
      </w:r>
      <w:r>
        <w:rPr>
          <w:rFonts w:ascii="Arial" w:hAnsi="Arial" w:cs="Arial"/>
          <w:sz w:val="24"/>
          <w:lang w:val="es-ES"/>
        </w:rPr>
        <w:t xml:space="preserve"> y permitirá cuantificar las mejoras en productividad de ejecución en ahorros de gastos laborales</w:t>
      </w:r>
      <w:r w:rsidRPr="000A590E">
        <w:rPr>
          <w:rFonts w:ascii="Arial" w:hAnsi="Arial" w:cs="Arial"/>
          <w:sz w:val="24"/>
          <w:lang w:val="es-ES"/>
        </w:rPr>
        <w:t>.</w:t>
      </w:r>
      <w:r w:rsidR="00FE0CE3" w:rsidRPr="00FE0CE3">
        <w:rPr>
          <w:rFonts w:ascii="Arial" w:hAnsi="Arial" w:cs="Arial"/>
          <w:b/>
          <w:sz w:val="24"/>
          <w:szCs w:val="24"/>
          <w:lang w:val="es-ES"/>
        </w:rPr>
        <w:t xml:space="preserve"> </w:t>
      </w:r>
    </w:p>
    <w:p w14:paraId="1A8A337D" w14:textId="75DABAF2" w:rsidR="00FE0CE3" w:rsidRDefault="00FE0CE3" w:rsidP="00FE0CE3">
      <w:pPr>
        <w:jc w:val="both"/>
        <w:rPr>
          <w:rFonts w:ascii="Arial" w:hAnsi="Arial" w:cs="Arial"/>
          <w:sz w:val="24"/>
          <w:szCs w:val="24"/>
          <w:lang w:val="es-ES"/>
        </w:rPr>
      </w:pPr>
      <w:r w:rsidRPr="00E2021F">
        <w:rPr>
          <w:rFonts w:ascii="Arial" w:hAnsi="Arial" w:cs="Arial"/>
          <w:b/>
          <w:sz w:val="24"/>
          <w:szCs w:val="24"/>
          <w:lang w:val="es-ES"/>
        </w:rPr>
        <w:t>Acuerdos EPA</w:t>
      </w:r>
    </w:p>
    <w:p w14:paraId="42E5F30A" w14:textId="77777777" w:rsidR="00FE0CE3" w:rsidRDefault="00FE0CE3" w:rsidP="00FE0CE3">
      <w:pPr>
        <w:jc w:val="both"/>
        <w:rPr>
          <w:rFonts w:ascii="Arial" w:hAnsi="Arial" w:cs="Arial"/>
          <w:sz w:val="24"/>
          <w:szCs w:val="24"/>
          <w:lang w:val="es-ES"/>
        </w:rPr>
      </w:pPr>
      <w:r w:rsidRPr="00E2021F">
        <w:rPr>
          <w:rFonts w:ascii="Arial" w:hAnsi="Arial" w:cs="Arial"/>
          <w:sz w:val="24"/>
          <w:szCs w:val="24"/>
          <w:lang w:val="es-ES"/>
        </w:rPr>
        <w:t xml:space="preserve">La renegociación de los Acuerdos existentes (Acuerdo de estaciones de bombeo sanitario, Acuerdo de Plantas de Alcantarillado, Acuerdo Sistema de Tratamiento de Cienos en Plantas de Filtración) con EPA fue completada, radicándose el Acuerdo, Acción Civil número 3:15-cv-02283 (JAG) el día 15 de septiembre de 2015.  Este Acuerdo logra:  </w:t>
      </w:r>
    </w:p>
    <w:p w14:paraId="0AA99C0E" w14:textId="77777777" w:rsidR="00FE0CE3" w:rsidRPr="00E2021F" w:rsidRDefault="00FE0CE3" w:rsidP="00FE0CE3">
      <w:pPr>
        <w:pStyle w:val="ListParagraph"/>
        <w:numPr>
          <w:ilvl w:val="0"/>
          <w:numId w:val="7"/>
        </w:numPr>
        <w:jc w:val="both"/>
        <w:rPr>
          <w:rFonts w:ascii="Arial" w:hAnsi="Arial" w:cs="Arial"/>
          <w:sz w:val="24"/>
          <w:szCs w:val="24"/>
          <w:lang w:val="es-ES"/>
        </w:rPr>
      </w:pPr>
      <w:r w:rsidRPr="00E2021F">
        <w:rPr>
          <w:rFonts w:ascii="Arial" w:hAnsi="Arial" w:cs="Arial"/>
          <w:sz w:val="24"/>
          <w:szCs w:val="24"/>
          <w:lang w:val="es-ES"/>
        </w:rPr>
        <w:t>Simplificación en la administración de los Acuerdos; se integraron tres Acuerdos en uno.</w:t>
      </w:r>
    </w:p>
    <w:p w14:paraId="27D47B43" w14:textId="77777777" w:rsidR="00FE0CE3" w:rsidRPr="00E2021F" w:rsidRDefault="00FE0CE3" w:rsidP="00FE0CE3">
      <w:pPr>
        <w:pStyle w:val="ListParagraph"/>
        <w:numPr>
          <w:ilvl w:val="0"/>
          <w:numId w:val="7"/>
        </w:numPr>
        <w:jc w:val="both"/>
        <w:rPr>
          <w:rFonts w:ascii="Arial" w:hAnsi="Arial" w:cs="Arial"/>
          <w:sz w:val="24"/>
          <w:szCs w:val="24"/>
          <w:lang w:val="es-ES"/>
        </w:rPr>
      </w:pPr>
      <w:r w:rsidRPr="00E2021F">
        <w:rPr>
          <w:rFonts w:ascii="Arial" w:hAnsi="Arial" w:cs="Arial"/>
          <w:sz w:val="24"/>
          <w:szCs w:val="24"/>
          <w:lang w:val="es-ES"/>
        </w:rPr>
        <w:t>Flexibilidad para ejecución de proyectos de Mejora Capital acorde con la situación fiscal de la Autoridad.</w:t>
      </w:r>
    </w:p>
    <w:p w14:paraId="1D897955" w14:textId="77777777" w:rsidR="00FE0CE3" w:rsidRPr="00E2021F" w:rsidRDefault="00FE0CE3" w:rsidP="00FE0CE3">
      <w:pPr>
        <w:pStyle w:val="ListParagraph"/>
        <w:numPr>
          <w:ilvl w:val="0"/>
          <w:numId w:val="7"/>
        </w:numPr>
        <w:jc w:val="both"/>
        <w:rPr>
          <w:rFonts w:ascii="Arial" w:hAnsi="Arial" w:cs="Arial"/>
          <w:sz w:val="24"/>
          <w:szCs w:val="24"/>
          <w:lang w:val="es-ES"/>
        </w:rPr>
      </w:pPr>
      <w:r w:rsidRPr="00E2021F">
        <w:rPr>
          <w:rFonts w:ascii="Arial" w:hAnsi="Arial" w:cs="Arial"/>
          <w:sz w:val="24"/>
          <w:szCs w:val="24"/>
          <w:lang w:val="es-ES"/>
        </w:rPr>
        <w:t>Extender las fechas de cumplimiento de algunos proyectos, hasta 14 años adicionales para cumplir.</w:t>
      </w:r>
    </w:p>
    <w:p w14:paraId="498CC84C" w14:textId="0883371B" w:rsidR="004C4232" w:rsidRPr="00FE0CE3" w:rsidRDefault="00FE0CE3" w:rsidP="004C4232">
      <w:pPr>
        <w:pStyle w:val="ListParagraph"/>
        <w:numPr>
          <w:ilvl w:val="0"/>
          <w:numId w:val="7"/>
        </w:numPr>
        <w:jc w:val="both"/>
        <w:rPr>
          <w:rFonts w:ascii="Arial" w:hAnsi="Arial" w:cs="Arial"/>
          <w:sz w:val="24"/>
          <w:szCs w:val="24"/>
          <w:lang w:val="es-ES"/>
        </w:rPr>
      </w:pPr>
      <w:r w:rsidRPr="00E2021F">
        <w:rPr>
          <w:rFonts w:ascii="Arial" w:hAnsi="Arial" w:cs="Arial"/>
          <w:sz w:val="24"/>
          <w:szCs w:val="24"/>
          <w:lang w:val="es-ES"/>
        </w:rPr>
        <w:lastRenderedPageBreak/>
        <w:t>Eliminar proyectos, evitando la inversión de $183M.</w:t>
      </w:r>
    </w:p>
    <w:p w14:paraId="6EC027ED" w14:textId="77777777" w:rsidR="000A590E" w:rsidRDefault="00E46D0A" w:rsidP="000A590E">
      <w:pPr>
        <w:jc w:val="both"/>
        <w:rPr>
          <w:rFonts w:ascii="Arial" w:hAnsi="Arial" w:cs="Arial"/>
          <w:sz w:val="24"/>
          <w:lang w:val="es-PR"/>
        </w:rPr>
      </w:pPr>
      <w:r w:rsidRPr="000A590E">
        <w:rPr>
          <w:rFonts w:ascii="Arial" w:hAnsi="Arial" w:cs="Arial"/>
          <w:b/>
          <w:sz w:val="24"/>
          <w:lang w:val="es-PR"/>
        </w:rPr>
        <w:t>Modelaje hidráulico y apoyo técnico a regiones operacionales</w:t>
      </w:r>
    </w:p>
    <w:p w14:paraId="5CC89E24" w14:textId="77777777" w:rsidR="00E46D0A" w:rsidRPr="00E2021F" w:rsidRDefault="00E46D0A" w:rsidP="00E2021F">
      <w:pPr>
        <w:jc w:val="both"/>
        <w:rPr>
          <w:rFonts w:ascii="Arial" w:hAnsi="Arial" w:cs="Arial"/>
          <w:sz w:val="24"/>
          <w:lang w:val="es-PR"/>
        </w:rPr>
      </w:pPr>
      <w:r w:rsidRPr="000A590E">
        <w:rPr>
          <w:rFonts w:ascii="Arial" w:hAnsi="Arial" w:cs="Arial"/>
          <w:sz w:val="24"/>
          <w:lang w:val="es-PR"/>
        </w:rPr>
        <w:t>Se realizaron 28 modelajes hidráulicos de sistemas de distribución de agua potable. Estos modelajes hidráulicos permitieron aumentar la eficiencia operacional y mejorar la confiabilidad del servicio de agua potable. Esto redunda en ahorros energéticos, recuperación de agua no facturada y cumplimiento ambiental.</w:t>
      </w:r>
    </w:p>
    <w:p w14:paraId="6A9BC4D5" w14:textId="77777777" w:rsidR="000A590E" w:rsidRDefault="00E46D0A" w:rsidP="000A590E">
      <w:pPr>
        <w:jc w:val="both"/>
        <w:rPr>
          <w:rFonts w:ascii="Arial" w:hAnsi="Arial" w:cs="Arial"/>
          <w:bCs/>
          <w:sz w:val="24"/>
          <w:lang w:val="es-PR"/>
        </w:rPr>
      </w:pPr>
      <w:r w:rsidRPr="000A590E">
        <w:rPr>
          <w:rFonts w:ascii="Arial" w:hAnsi="Arial" w:cs="Arial"/>
          <w:b/>
          <w:bCs/>
          <w:sz w:val="24"/>
          <w:lang w:val="es-PR"/>
        </w:rPr>
        <w:t>Plan Maestro de Infraestructura de la AAA</w:t>
      </w:r>
    </w:p>
    <w:p w14:paraId="74DAFF49" w14:textId="289574EC" w:rsidR="00961838" w:rsidRPr="000A590E" w:rsidRDefault="00E46D0A" w:rsidP="000A590E">
      <w:pPr>
        <w:jc w:val="both"/>
        <w:rPr>
          <w:rFonts w:ascii="Arial" w:hAnsi="Arial" w:cs="Arial"/>
          <w:sz w:val="24"/>
          <w:lang w:val="es-PR"/>
        </w:rPr>
      </w:pPr>
      <w:r w:rsidRPr="000A590E">
        <w:rPr>
          <w:rFonts w:ascii="Arial" w:hAnsi="Arial" w:cs="Arial"/>
          <w:bCs/>
          <w:sz w:val="24"/>
          <w:lang w:val="es-PR"/>
        </w:rPr>
        <w:t>En el 2014 se actualizó el Plan Maestro de Infraestructura</w:t>
      </w:r>
      <w:r w:rsidR="00570BDE">
        <w:rPr>
          <w:rFonts w:ascii="Arial" w:hAnsi="Arial" w:cs="Arial"/>
          <w:bCs/>
          <w:sz w:val="24"/>
          <w:lang w:val="es-PR"/>
        </w:rPr>
        <w:t xml:space="preserve"> el cual comprende la planificación hasta el 20</w:t>
      </w:r>
      <w:r w:rsidR="00CF50B7">
        <w:rPr>
          <w:rFonts w:ascii="Arial" w:hAnsi="Arial" w:cs="Arial"/>
          <w:bCs/>
          <w:sz w:val="24"/>
          <w:lang w:val="es-PR"/>
        </w:rPr>
        <w:t>30</w:t>
      </w:r>
      <w:r w:rsidRPr="000A590E">
        <w:rPr>
          <w:rFonts w:ascii="Arial" w:hAnsi="Arial" w:cs="Arial"/>
          <w:bCs/>
          <w:sz w:val="24"/>
          <w:lang w:val="es-PR"/>
        </w:rPr>
        <w:t>. Esta actualización contempla los cambios poblacionales proyectados por la Junta de Planificación, la actualización de nuestras áreas de servicio de agua potable y alcantarillado. Luego de identificadas las necesidades, las recomendaciones de proyectos de infraestructura fueron incluidas en el Programa de Mejoras Capitales</w:t>
      </w:r>
      <w:r w:rsidR="00CF50B7">
        <w:rPr>
          <w:rFonts w:ascii="Arial" w:hAnsi="Arial" w:cs="Arial"/>
          <w:bCs/>
          <w:sz w:val="24"/>
          <w:lang w:val="es-PR"/>
        </w:rPr>
        <w:t xml:space="preserve"> actualizado</w:t>
      </w:r>
      <w:r w:rsidRPr="000A590E">
        <w:rPr>
          <w:rFonts w:ascii="Arial" w:hAnsi="Arial" w:cs="Arial"/>
          <w:bCs/>
          <w:sz w:val="24"/>
          <w:lang w:val="es-PR"/>
        </w:rPr>
        <w:t>.</w:t>
      </w:r>
    </w:p>
    <w:p w14:paraId="10808C02" w14:textId="77777777" w:rsidR="000A590E" w:rsidRDefault="00E46D0A" w:rsidP="000A590E">
      <w:pPr>
        <w:jc w:val="both"/>
        <w:rPr>
          <w:rFonts w:ascii="Arial" w:hAnsi="Arial" w:cs="Arial"/>
          <w:bCs/>
          <w:sz w:val="24"/>
          <w:lang w:val="es-PR"/>
        </w:rPr>
      </w:pPr>
      <w:r w:rsidRPr="000A590E">
        <w:rPr>
          <w:rFonts w:ascii="Arial" w:hAnsi="Arial" w:cs="Arial"/>
          <w:b/>
          <w:sz w:val="24"/>
          <w:lang w:val="es-PR"/>
        </w:rPr>
        <w:t>Cambio Climático</w:t>
      </w:r>
    </w:p>
    <w:p w14:paraId="2E87DF33" w14:textId="77777777" w:rsidR="00E46D0A" w:rsidRPr="000A590E" w:rsidRDefault="00E46D0A" w:rsidP="000A590E">
      <w:pPr>
        <w:jc w:val="both"/>
        <w:rPr>
          <w:rFonts w:ascii="Arial" w:hAnsi="Arial" w:cs="Arial"/>
          <w:sz w:val="24"/>
          <w:lang w:val="es-PR"/>
        </w:rPr>
      </w:pPr>
      <w:r w:rsidRPr="000A590E">
        <w:rPr>
          <w:rFonts w:ascii="Arial" w:hAnsi="Arial" w:cs="Arial"/>
          <w:bCs/>
          <w:sz w:val="24"/>
          <w:lang w:val="es-PR"/>
        </w:rPr>
        <w:t>Se completó el Análisis de Vulnerabilidad a los estresores identificados por el Consejo de Cambio Climático. En este análisis identificamos cuales instalaciones se verían afectadas si los escenarios presentados se materializan. Esto nos permitió redactar el Plan de Adaptación. En este plan diseñamos estrategias para preparar a la AAA para enfrentar los efectos del cambio climático</w:t>
      </w:r>
      <w:r w:rsidRPr="000A590E">
        <w:rPr>
          <w:rFonts w:ascii="Arial" w:hAnsi="Arial" w:cs="Arial"/>
          <w:sz w:val="24"/>
          <w:lang w:val="es-PR"/>
        </w:rPr>
        <w:t>.</w:t>
      </w:r>
    </w:p>
    <w:p w14:paraId="2D8A8364" w14:textId="77777777" w:rsidR="000A590E" w:rsidRDefault="00E46D0A" w:rsidP="000A590E">
      <w:pPr>
        <w:jc w:val="both"/>
        <w:rPr>
          <w:rFonts w:ascii="Arial" w:hAnsi="Arial" w:cs="Arial"/>
          <w:bCs/>
          <w:sz w:val="24"/>
          <w:lang w:val="es-PR"/>
        </w:rPr>
      </w:pPr>
      <w:r w:rsidRPr="000A590E">
        <w:rPr>
          <w:rFonts w:ascii="Arial" w:hAnsi="Arial" w:cs="Arial"/>
          <w:b/>
          <w:bCs/>
          <w:sz w:val="24"/>
          <w:lang w:val="es-PR"/>
        </w:rPr>
        <w:t>Plan de Manejo de Recursos de Agua para la Región Metro</w:t>
      </w:r>
    </w:p>
    <w:p w14:paraId="011EAC93" w14:textId="4EFFC06D" w:rsidR="004C4232" w:rsidRPr="004C4232" w:rsidRDefault="00E46D0A" w:rsidP="00406A00">
      <w:pPr>
        <w:jc w:val="both"/>
        <w:rPr>
          <w:rFonts w:ascii="Arial" w:hAnsi="Arial" w:cs="Arial"/>
          <w:sz w:val="24"/>
          <w:lang w:val="es-PR"/>
        </w:rPr>
      </w:pPr>
      <w:r w:rsidRPr="000A590E">
        <w:rPr>
          <w:rFonts w:ascii="Arial" w:hAnsi="Arial" w:cs="Arial"/>
          <w:bCs/>
          <w:sz w:val="24"/>
          <w:lang w:val="es-PR"/>
        </w:rPr>
        <w:t>Debido a la sequía que experimentamos en el 2015, en la que la población de la región metropolitana fue la más impactada, se realizó una planificación especial para la Región Metropolitana. Esta planificación incluyó varios escenarios donde se evaluaron alternativas de proyectos e iniciativas para enfrentar futuras sequías. Entre las iniciativas evaluadas se incluyen: incentivos de conservación de agua, disminución de pérdidas de agua, balance de uso de agua entre agua superficial y subterránea, transferencias de agua entre regiones y proyectos nuevos que aporten agua adicional. Los proyectos incluidos en el escenario más favorable fueron incluidos en el Programa de Mejoras Capitales.</w:t>
      </w:r>
    </w:p>
    <w:p w14:paraId="23934BC8" w14:textId="168E1FE4" w:rsidR="00857734" w:rsidRDefault="00E46D0A" w:rsidP="00406A00">
      <w:pPr>
        <w:jc w:val="both"/>
        <w:rPr>
          <w:rFonts w:ascii="Arial" w:hAnsi="Arial" w:cs="Arial"/>
          <w:sz w:val="24"/>
          <w:lang w:val="es-PR"/>
        </w:rPr>
      </w:pPr>
      <w:r w:rsidRPr="00E2021F">
        <w:rPr>
          <w:rFonts w:ascii="Arial" w:hAnsi="Arial" w:cs="Arial"/>
          <w:b/>
          <w:sz w:val="24"/>
          <w:lang w:val="es-PR"/>
        </w:rPr>
        <w:t>Avances Tecnológicos</w:t>
      </w:r>
    </w:p>
    <w:p w14:paraId="4794C6C6" w14:textId="77777777" w:rsidR="00857734" w:rsidRPr="00857734" w:rsidRDefault="00857734" w:rsidP="00857734">
      <w:pPr>
        <w:pStyle w:val="ListParagraph"/>
        <w:numPr>
          <w:ilvl w:val="0"/>
          <w:numId w:val="8"/>
        </w:numPr>
        <w:jc w:val="both"/>
        <w:rPr>
          <w:rFonts w:ascii="Arial" w:hAnsi="Arial" w:cs="Arial"/>
          <w:sz w:val="24"/>
          <w:lang w:val="es-PR"/>
        </w:rPr>
      </w:pPr>
      <w:r w:rsidRPr="00857734">
        <w:rPr>
          <w:rFonts w:ascii="Arial" w:hAnsi="Arial" w:cs="Arial"/>
          <w:b/>
          <w:sz w:val="24"/>
          <w:lang w:val="es-PR"/>
        </w:rPr>
        <w:t>Oficina Virtual</w:t>
      </w:r>
    </w:p>
    <w:p w14:paraId="2CE5CF44" w14:textId="074D2FFC" w:rsidR="00FE0CE3" w:rsidRDefault="00E46D0A" w:rsidP="00FE0CE3">
      <w:pPr>
        <w:ind w:left="360"/>
        <w:jc w:val="both"/>
        <w:rPr>
          <w:rFonts w:ascii="Arial" w:hAnsi="Arial" w:cs="Arial"/>
          <w:sz w:val="24"/>
          <w:lang w:val="es-PR"/>
        </w:rPr>
      </w:pPr>
      <w:r w:rsidRPr="00857734">
        <w:rPr>
          <w:rFonts w:ascii="Arial" w:hAnsi="Arial" w:cs="Arial"/>
          <w:sz w:val="24"/>
          <w:lang w:val="es-PR"/>
        </w:rPr>
        <w:t xml:space="preserve">Convertir a </w:t>
      </w:r>
      <w:hyperlink r:id="rId9" w:history="1">
        <w:r w:rsidRPr="00857734">
          <w:rPr>
            <w:rStyle w:val="Hyperlink"/>
            <w:rFonts w:ascii="Arial" w:hAnsi="Arial" w:cs="Arial"/>
            <w:sz w:val="24"/>
            <w:lang w:val="es-PR"/>
          </w:rPr>
          <w:t>www.acueductospr.com</w:t>
        </w:r>
      </w:hyperlink>
      <w:r w:rsidRPr="00857734">
        <w:rPr>
          <w:rFonts w:ascii="Arial" w:hAnsi="Arial" w:cs="Arial"/>
          <w:sz w:val="24"/>
          <w:lang w:val="es-PR"/>
        </w:rPr>
        <w:t xml:space="preserve"> en una oficina virtual, donde el cliente puede realizar todas sus transacciones a través del Internet, ofreciéndole al cliente la </w:t>
      </w:r>
      <w:r w:rsidR="00C82AF6">
        <w:rPr>
          <w:rFonts w:ascii="Arial" w:hAnsi="Arial" w:cs="Arial"/>
          <w:sz w:val="24"/>
          <w:lang w:val="es-PR"/>
        </w:rPr>
        <w:t xml:space="preserve">nueva </w:t>
      </w:r>
      <w:r w:rsidRPr="00857734">
        <w:rPr>
          <w:rFonts w:ascii="Arial" w:hAnsi="Arial" w:cs="Arial"/>
          <w:sz w:val="24"/>
          <w:lang w:val="es-PR"/>
        </w:rPr>
        <w:t>funcionalidad de “self services</w:t>
      </w:r>
      <w:r w:rsidR="00BD3C69" w:rsidRPr="00857734">
        <w:rPr>
          <w:rFonts w:ascii="Arial" w:hAnsi="Arial" w:cs="Arial"/>
          <w:sz w:val="24"/>
          <w:lang w:val="es-PR"/>
        </w:rPr>
        <w:t>”.</w:t>
      </w:r>
    </w:p>
    <w:p w14:paraId="37368694" w14:textId="77777777" w:rsidR="00FE0CE3" w:rsidRDefault="00FE0CE3" w:rsidP="00FE0CE3">
      <w:pPr>
        <w:ind w:left="360"/>
        <w:jc w:val="both"/>
        <w:rPr>
          <w:rFonts w:ascii="Arial" w:hAnsi="Arial" w:cs="Arial"/>
          <w:sz w:val="24"/>
          <w:lang w:val="es-PR"/>
        </w:rPr>
      </w:pPr>
    </w:p>
    <w:p w14:paraId="41D59FCD" w14:textId="77777777" w:rsidR="00FE0CE3" w:rsidRDefault="00FE0CE3" w:rsidP="00FE0CE3">
      <w:pPr>
        <w:ind w:left="360"/>
        <w:jc w:val="both"/>
        <w:rPr>
          <w:rFonts w:ascii="Arial" w:hAnsi="Arial" w:cs="Arial"/>
          <w:sz w:val="24"/>
          <w:lang w:val="es-PR"/>
        </w:rPr>
      </w:pPr>
    </w:p>
    <w:p w14:paraId="103DBCE0" w14:textId="77777777" w:rsidR="00C82AF6" w:rsidRPr="00871F3B" w:rsidRDefault="00C82AF6" w:rsidP="00871F3B">
      <w:pPr>
        <w:pStyle w:val="ListParagraph"/>
        <w:numPr>
          <w:ilvl w:val="0"/>
          <w:numId w:val="8"/>
        </w:numPr>
        <w:jc w:val="both"/>
        <w:rPr>
          <w:rFonts w:ascii="Arial" w:hAnsi="Arial" w:cs="Arial"/>
          <w:b/>
          <w:sz w:val="24"/>
          <w:lang w:val="es-PR"/>
        </w:rPr>
      </w:pPr>
      <w:r w:rsidRPr="00871F3B">
        <w:rPr>
          <w:rFonts w:ascii="Arial" w:hAnsi="Arial" w:cs="Arial"/>
          <w:b/>
          <w:sz w:val="24"/>
          <w:lang w:val="es-PR"/>
        </w:rPr>
        <w:lastRenderedPageBreak/>
        <w:t>Aplicación para teléfonos inteligentes</w:t>
      </w:r>
    </w:p>
    <w:p w14:paraId="6C27EC3B" w14:textId="77777777" w:rsidR="004C4232" w:rsidRDefault="00C82AF6" w:rsidP="004C4232">
      <w:pPr>
        <w:ind w:left="360"/>
        <w:jc w:val="both"/>
        <w:rPr>
          <w:rFonts w:ascii="Arial" w:hAnsi="Arial" w:cs="Arial"/>
          <w:sz w:val="24"/>
          <w:lang w:val="es-PR"/>
        </w:rPr>
      </w:pPr>
      <w:r>
        <w:rPr>
          <w:rFonts w:ascii="Arial" w:hAnsi="Arial" w:cs="Arial"/>
          <w:sz w:val="24"/>
          <w:lang w:val="es-PR"/>
        </w:rPr>
        <w:t>La creación de una aplicación para teléfonos móviles inteligentes se realizó en el 2013 y con la misma se puede, entre otras funcionalidades, pagar la factura, revisar el estado de cuenta y reportar salideros con solo tomar una foto.</w:t>
      </w:r>
    </w:p>
    <w:p w14:paraId="36359D57" w14:textId="0F7B6E28" w:rsidR="00B74A56" w:rsidRPr="00B74A56" w:rsidRDefault="00B74A56" w:rsidP="00B74A56">
      <w:pPr>
        <w:jc w:val="both"/>
        <w:rPr>
          <w:rFonts w:ascii="Arial" w:hAnsi="Arial" w:cs="Arial"/>
          <w:b/>
          <w:sz w:val="24"/>
          <w:lang w:val="es-PR"/>
        </w:rPr>
      </w:pPr>
      <w:r w:rsidRPr="00B74A56">
        <w:rPr>
          <w:rFonts w:ascii="Arial" w:hAnsi="Arial" w:cs="Arial"/>
          <w:b/>
          <w:sz w:val="24"/>
          <w:lang w:val="es-PR"/>
        </w:rPr>
        <w:t xml:space="preserve">Sistema Integrado de Compras </w:t>
      </w:r>
    </w:p>
    <w:p w14:paraId="2AE2E385" w14:textId="41E1D37E" w:rsidR="00B74A56" w:rsidRDefault="00B74A56" w:rsidP="00B74A56">
      <w:pPr>
        <w:jc w:val="both"/>
        <w:rPr>
          <w:rFonts w:ascii="Arial" w:hAnsi="Arial" w:cs="Arial"/>
          <w:sz w:val="24"/>
          <w:lang w:val="es-PR"/>
        </w:rPr>
      </w:pPr>
      <w:r w:rsidRPr="00B74A56">
        <w:rPr>
          <w:rFonts w:ascii="Arial" w:hAnsi="Arial" w:cs="Arial"/>
          <w:sz w:val="24"/>
          <w:lang w:val="es-PR"/>
        </w:rPr>
        <w:t>El Sistema Integrado de Compras (SIC), es una herramienta establecida por la Autoridad de Acueductos y Alcantarillados que permite obtener mejores resultados automatizando los procesos. A través de esta herramienta los proveedores de bienes y/o servicios tienen acceso al nuevo proceso de licitación, crear ofertas, visualizar pedidos de compras y enviar facturas a través del sistema SIC. Los proveedores reciben todas las licitaciones emitidas por la AAA según las categorías o conceptos registrados para su compañía, lo que provee transparencia al proceso de compras</w:t>
      </w:r>
    </w:p>
    <w:p w14:paraId="62533C52" w14:textId="1001964F" w:rsidR="00E2021F" w:rsidRDefault="00E46D0A" w:rsidP="00E2021F">
      <w:pPr>
        <w:jc w:val="both"/>
        <w:rPr>
          <w:rFonts w:ascii="Arial" w:hAnsi="Arial" w:cs="Arial"/>
          <w:b/>
          <w:sz w:val="24"/>
          <w:lang w:val="es-PR"/>
        </w:rPr>
      </w:pPr>
      <w:r w:rsidRPr="00E2021F">
        <w:rPr>
          <w:rFonts w:ascii="Arial" w:hAnsi="Arial" w:cs="Arial"/>
          <w:b/>
          <w:sz w:val="24"/>
          <w:lang w:val="es-PR"/>
        </w:rPr>
        <w:t>“Sistema Inte</w:t>
      </w:r>
      <w:r w:rsidR="00E2021F">
        <w:rPr>
          <w:rFonts w:ascii="Arial" w:hAnsi="Arial" w:cs="Arial"/>
          <w:b/>
          <w:sz w:val="24"/>
          <w:lang w:val="es-PR"/>
        </w:rPr>
        <w:t>ligente de Transporte” (SIT)</w:t>
      </w:r>
    </w:p>
    <w:p w14:paraId="2E3DEE35" w14:textId="10F71AC8" w:rsidR="00E46D0A" w:rsidRPr="00E2021F" w:rsidRDefault="00C82AF6" w:rsidP="00E2021F">
      <w:pPr>
        <w:jc w:val="both"/>
        <w:rPr>
          <w:rFonts w:ascii="Arial" w:hAnsi="Arial" w:cs="Arial"/>
          <w:sz w:val="24"/>
          <w:lang w:val="es-PR"/>
        </w:rPr>
      </w:pPr>
      <w:r>
        <w:rPr>
          <w:rFonts w:ascii="Arial" w:hAnsi="Arial" w:cs="Arial"/>
          <w:sz w:val="24"/>
          <w:lang w:val="es-PR"/>
        </w:rPr>
        <w:t>Para mejorar la efectividad de supervisión de nuestras brigadas, se implementó un</w:t>
      </w:r>
      <w:r w:rsidR="00E46D0A" w:rsidRPr="00E2021F">
        <w:rPr>
          <w:rFonts w:ascii="Arial" w:hAnsi="Arial" w:cs="Arial"/>
          <w:sz w:val="24"/>
          <w:lang w:val="es-PR"/>
        </w:rPr>
        <w:t xml:space="preserve"> sistema de localización GPS en los vehículos para monitorear la ubicación, la hora del almuerzo, tiempo de trabajo efectivo, y el tiempo “idle” del vehículo. Adicionalmente, la integración del programa a las métricas para un mayor monitoreo y control del uso de nuestra flota. </w:t>
      </w:r>
    </w:p>
    <w:p w14:paraId="18E8279F" w14:textId="77777777" w:rsidR="00E2021F" w:rsidRDefault="00E46D0A" w:rsidP="00E2021F">
      <w:pPr>
        <w:jc w:val="both"/>
        <w:rPr>
          <w:rFonts w:ascii="Arial" w:hAnsi="Arial" w:cs="Arial"/>
          <w:b/>
          <w:sz w:val="24"/>
          <w:lang w:val="es-PR"/>
        </w:rPr>
      </w:pPr>
      <w:r w:rsidRPr="00E2021F">
        <w:rPr>
          <w:rFonts w:ascii="Arial" w:hAnsi="Arial" w:cs="Arial"/>
          <w:b/>
          <w:sz w:val="24"/>
          <w:lang w:val="es-PR"/>
        </w:rPr>
        <w:t>Centro de</w:t>
      </w:r>
      <w:r w:rsidR="00E2021F">
        <w:rPr>
          <w:rFonts w:ascii="Arial" w:hAnsi="Arial" w:cs="Arial"/>
          <w:b/>
          <w:sz w:val="24"/>
          <w:lang w:val="es-PR"/>
        </w:rPr>
        <w:t xml:space="preserve"> Eficiencia Operacional (CEO)</w:t>
      </w:r>
    </w:p>
    <w:p w14:paraId="1D44B35D" w14:textId="72CB21A7" w:rsidR="00BD3C69" w:rsidRPr="00857734" w:rsidRDefault="00E46D0A" w:rsidP="00857734">
      <w:pPr>
        <w:jc w:val="both"/>
        <w:rPr>
          <w:rFonts w:ascii="Arial" w:hAnsi="Arial" w:cs="Arial"/>
          <w:sz w:val="24"/>
          <w:lang w:val="es-PR"/>
        </w:rPr>
      </w:pPr>
      <w:r w:rsidRPr="00E2021F">
        <w:rPr>
          <w:rFonts w:ascii="Arial" w:hAnsi="Arial" w:cs="Arial"/>
          <w:sz w:val="24"/>
          <w:lang w:val="es-PR"/>
        </w:rPr>
        <w:t xml:space="preserve">En la búsqueda de mejorar el servicio a nuestros clientes y optimizar nuestros sistemas de distribución de agua potable y procesamiento de agua se </w:t>
      </w:r>
      <w:r w:rsidR="00600F78" w:rsidRPr="00E2021F">
        <w:rPr>
          <w:rFonts w:ascii="Arial" w:hAnsi="Arial" w:cs="Arial"/>
          <w:sz w:val="24"/>
          <w:lang w:val="es-PR"/>
        </w:rPr>
        <w:t>cre</w:t>
      </w:r>
      <w:r w:rsidR="00600F78">
        <w:rPr>
          <w:rFonts w:ascii="Arial" w:hAnsi="Arial" w:cs="Arial"/>
          <w:sz w:val="24"/>
          <w:lang w:val="es-PR"/>
        </w:rPr>
        <w:t>ó</w:t>
      </w:r>
      <w:r w:rsidR="00600F78" w:rsidRPr="00E2021F">
        <w:rPr>
          <w:rFonts w:ascii="Arial" w:hAnsi="Arial" w:cs="Arial"/>
          <w:sz w:val="24"/>
          <w:lang w:val="es-PR"/>
        </w:rPr>
        <w:t xml:space="preserve"> </w:t>
      </w:r>
      <w:r w:rsidRPr="00E2021F">
        <w:rPr>
          <w:rFonts w:ascii="Arial" w:hAnsi="Arial" w:cs="Arial"/>
          <w:sz w:val="24"/>
          <w:lang w:val="es-PR"/>
        </w:rPr>
        <w:t xml:space="preserve">el Centro de Eficiencia Operacional (CEO). Cada región tiene un CEO operando en turnos rotativos </w:t>
      </w:r>
      <w:r w:rsidR="00BD3C69" w:rsidRPr="00E2021F">
        <w:rPr>
          <w:rFonts w:ascii="Arial" w:hAnsi="Arial" w:cs="Arial"/>
          <w:sz w:val="24"/>
          <w:lang w:val="es-PR"/>
        </w:rPr>
        <w:t>y gracias a todos los cambios tecnológicos que la AAA ha implementado, logramos tener un sistema de monitoreo a la vanguardia de la tecnología. El mismo nos permite mantener un monitoreo de manera remota 24/7 a todas las plantas de filtro y a la gran mayoría de las estaciones de bomba de agua potable y tanques.</w:t>
      </w:r>
    </w:p>
    <w:p w14:paraId="6FA1BDE4" w14:textId="77777777" w:rsidR="00E46D0A" w:rsidRPr="00E2021F" w:rsidRDefault="00E46D0A" w:rsidP="00E2021F">
      <w:pPr>
        <w:jc w:val="both"/>
        <w:rPr>
          <w:rFonts w:ascii="Arial" w:hAnsi="Arial" w:cs="Arial"/>
          <w:sz w:val="24"/>
          <w:szCs w:val="24"/>
          <w:lang w:val="es-PR"/>
        </w:rPr>
      </w:pPr>
      <w:r w:rsidRPr="00E2021F">
        <w:rPr>
          <w:rFonts w:ascii="Arial" w:hAnsi="Arial" w:cs="Arial"/>
          <w:b/>
          <w:sz w:val="24"/>
          <w:lang w:val="es-PR"/>
        </w:rPr>
        <w:t>Eficiencia Operacional en brigadas</w:t>
      </w:r>
    </w:p>
    <w:p w14:paraId="2AFEBC21" w14:textId="77777777" w:rsidR="00857734" w:rsidRPr="00857734" w:rsidRDefault="00E46D0A" w:rsidP="00857734">
      <w:pPr>
        <w:pStyle w:val="ListParagraph"/>
        <w:numPr>
          <w:ilvl w:val="0"/>
          <w:numId w:val="9"/>
        </w:numPr>
        <w:jc w:val="both"/>
        <w:rPr>
          <w:rFonts w:ascii="Arial" w:hAnsi="Arial" w:cs="Arial"/>
          <w:sz w:val="24"/>
          <w:szCs w:val="24"/>
          <w:lang w:val="es-PR"/>
        </w:rPr>
      </w:pPr>
      <w:r w:rsidRPr="00857734">
        <w:rPr>
          <w:rFonts w:ascii="Arial" w:eastAsia="Times New Roman" w:hAnsi="Arial" w:cs="Arial"/>
          <w:sz w:val="24"/>
          <w:szCs w:val="24"/>
          <w:lang w:val="es-ES" w:eastAsia="en-US"/>
        </w:rPr>
        <w:t xml:space="preserve">Las brigadas y contratistas para reparaciones ahora reciben órdenes de trabajo a través de MDT (“mobile data terminals”) que proveen para instrucciones o cambios específicos a ser comunicados y obtener resultados más rápidos con menor tiempos de respuesta y por lo tanto una mejor métrica. </w:t>
      </w:r>
    </w:p>
    <w:p w14:paraId="2AACFC09" w14:textId="4F07438D" w:rsidR="00E46D0A" w:rsidRPr="00FE0CE3" w:rsidRDefault="00E46D0A" w:rsidP="0047019C">
      <w:pPr>
        <w:pStyle w:val="ListParagraph"/>
        <w:numPr>
          <w:ilvl w:val="0"/>
          <w:numId w:val="9"/>
        </w:numPr>
        <w:jc w:val="both"/>
        <w:rPr>
          <w:rFonts w:ascii="Arial" w:hAnsi="Arial" w:cs="Arial"/>
          <w:sz w:val="24"/>
          <w:szCs w:val="24"/>
          <w:lang w:val="es-PR"/>
        </w:rPr>
      </w:pPr>
      <w:r w:rsidRPr="00857734">
        <w:rPr>
          <w:rFonts w:ascii="Arial" w:eastAsia="Times New Roman" w:hAnsi="Arial" w:cs="Arial"/>
          <w:sz w:val="24"/>
          <w:szCs w:val="24"/>
          <w:lang w:val="es-ES" w:eastAsia="en-US"/>
        </w:rPr>
        <w:t>En 2016, la AAA también comenzó a implementar el uso de multifuncionalidad de brigadas (denominado Brigadas Universales). La AAA solía tener brigadas dedicadas para las reparaciones del sistema de agua y otros para el sistema de alcantarillado, cuando la realidad es que con el entrenamiento correcto estos empleados pueden trabajar en ambos sistemas y por lo tanto aumentar la productividad de la AAA y mejorar el tiempo de respuesta para los clientes.</w:t>
      </w:r>
    </w:p>
    <w:p w14:paraId="3B60529D" w14:textId="77777777" w:rsidR="00FE0CE3" w:rsidRDefault="00FE0CE3" w:rsidP="00FE0CE3">
      <w:pPr>
        <w:jc w:val="both"/>
        <w:rPr>
          <w:rFonts w:ascii="Arial" w:hAnsi="Arial" w:cs="Arial"/>
          <w:sz w:val="24"/>
          <w:szCs w:val="24"/>
          <w:lang w:val="es-PR"/>
        </w:rPr>
      </w:pPr>
    </w:p>
    <w:p w14:paraId="047DA7B4" w14:textId="77777777" w:rsidR="00FE0CE3" w:rsidRPr="00FE0CE3" w:rsidRDefault="00FE0CE3" w:rsidP="00FE0CE3">
      <w:pPr>
        <w:jc w:val="both"/>
        <w:rPr>
          <w:rFonts w:ascii="Arial" w:hAnsi="Arial" w:cs="Arial"/>
          <w:sz w:val="24"/>
          <w:szCs w:val="24"/>
          <w:lang w:val="es-PR"/>
        </w:rPr>
      </w:pPr>
    </w:p>
    <w:p w14:paraId="494DAF13" w14:textId="77777777" w:rsidR="00E2021F" w:rsidRDefault="00E46D0A" w:rsidP="00E2021F">
      <w:pPr>
        <w:jc w:val="both"/>
        <w:rPr>
          <w:rFonts w:ascii="Arial" w:hAnsi="Arial" w:cs="Arial"/>
          <w:sz w:val="24"/>
          <w:lang w:val="es-PR"/>
        </w:rPr>
      </w:pPr>
      <w:r w:rsidRPr="00E2021F">
        <w:rPr>
          <w:rFonts w:ascii="Arial" w:hAnsi="Arial" w:cs="Arial"/>
          <w:b/>
          <w:sz w:val="24"/>
          <w:lang w:val="es-PR"/>
        </w:rPr>
        <w:t>Centro de Supervisión Regional (CSR)</w:t>
      </w:r>
    </w:p>
    <w:p w14:paraId="44424285" w14:textId="3C586A8F" w:rsidR="00961838" w:rsidRPr="00E2021F" w:rsidRDefault="00BD3C69" w:rsidP="00E2021F">
      <w:pPr>
        <w:jc w:val="both"/>
        <w:rPr>
          <w:rFonts w:ascii="Arial" w:hAnsi="Arial" w:cs="Arial"/>
          <w:sz w:val="24"/>
          <w:lang w:val="es-PR"/>
        </w:rPr>
      </w:pPr>
      <w:r w:rsidRPr="00E2021F">
        <w:rPr>
          <w:rFonts w:ascii="Arial" w:hAnsi="Arial" w:cs="Arial"/>
          <w:sz w:val="24"/>
          <w:lang w:val="es-PR"/>
        </w:rPr>
        <w:t xml:space="preserve">Estandarización </w:t>
      </w:r>
      <w:r w:rsidR="00E46D0A" w:rsidRPr="00E2021F">
        <w:rPr>
          <w:rFonts w:ascii="Arial" w:hAnsi="Arial" w:cs="Arial"/>
          <w:sz w:val="24"/>
          <w:lang w:val="es-PR"/>
        </w:rPr>
        <w:t xml:space="preserve">y optimización de procesos y recursos </w:t>
      </w:r>
      <w:r w:rsidR="00600F78" w:rsidRPr="00E2021F">
        <w:rPr>
          <w:rFonts w:ascii="Arial" w:hAnsi="Arial" w:cs="Arial"/>
          <w:sz w:val="24"/>
          <w:lang w:val="es-PR"/>
        </w:rPr>
        <w:t xml:space="preserve">de Servicio al Cliente </w:t>
      </w:r>
      <w:r w:rsidR="00E46D0A" w:rsidRPr="00E2021F">
        <w:rPr>
          <w:rFonts w:ascii="Arial" w:hAnsi="Arial" w:cs="Arial"/>
          <w:sz w:val="24"/>
          <w:lang w:val="es-PR"/>
        </w:rPr>
        <w:t xml:space="preserve">con cinco Centros de Supervisión Regional (CSR) existentes a nivel isla.  </w:t>
      </w:r>
      <w:r w:rsidR="00600F78">
        <w:rPr>
          <w:rFonts w:ascii="Arial" w:hAnsi="Arial" w:cs="Arial"/>
          <w:sz w:val="24"/>
          <w:lang w:val="es-PR"/>
        </w:rPr>
        <w:t xml:space="preserve">El </w:t>
      </w:r>
      <w:r w:rsidR="00E46D0A" w:rsidRPr="00E2021F">
        <w:rPr>
          <w:rFonts w:ascii="Arial" w:hAnsi="Arial" w:cs="Arial"/>
          <w:sz w:val="24"/>
          <w:lang w:val="es-PR"/>
        </w:rPr>
        <w:t>CSR ha o</w:t>
      </w:r>
      <w:r w:rsidR="00961838" w:rsidRPr="00E2021F">
        <w:rPr>
          <w:rFonts w:ascii="Arial" w:hAnsi="Arial" w:cs="Arial"/>
          <w:sz w:val="24"/>
          <w:lang w:val="es-PR"/>
        </w:rPr>
        <w:t>ptimizado las herramientas de s</w:t>
      </w:r>
      <w:r w:rsidR="00E46D0A" w:rsidRPr="00E2021F">
        <w:rPr>
          <w:rFonts w:ascii="Arial" w:hAnsi="Arial" w:cs="Arial"/>
          <w:sz w:val="24"/>
          <w:lang w:val="es-PR"/>
        </w:rPr>
        <w:t>istema</w:t>
      </w:r>
      <w:r w:rsidR="00961838" w:rsidRPr="00E2021F">
        <w:rPr>
          <w:rFonts w:ascii="Arial" w:hAnsi="Arial" w:cs="Arial"/>
          <w:sz w:val="24"/>
          <w:lang w:val="es-PR"/>
        </w:rPr>
        <w:t>s</w:t>
      </w:r>
      <w:r w:rsidR="00E46D0A" w:rsidRPr="00E2021F">
        <w:rPr>
          <w:rFonts w:ascii="Arial" w:hAnsi="Arial" w:cs="Arial"/>
          <w:sz w:val="24"/>
          <w:lang w:val="es-PR"/>
        </w:rPr>
        <w:t xml:space="preserve"> existentes y la integración del </w:t>
      </w:r>
      <w:r w:rsidRPr="00E2021F">
        <w:rPr>
          <w:rFonts w:ascii="Arial" w:hAnsi="Arial" w:cs="Arial"/>
          <w:sz w:val="24"/>
          <w:lang w:val="es-PR"/>
        </w:rPr>
        <w:t>SIT</w:t>
      </w:r>
      <w:r w:rsidR="00E46D0A" w:rsidRPr="00E2021F">
        <w:rPr>
          <w:rFonts w:ascii="Arial" w:hAnsi="Arial" w:cs="Arial"/>
          <w:sz w:val="24"/>
          <w:lang w:val="es-PR"/>
        </w:rPr>
        <w:t xml:space="preserve"> para la </w:t>
      </w:r>
      <w:r w:rsidR="00600F78">
        <w:rPr>
          <w:rFonts w:ascii="Arial" w:hAnsi="Arial" w:cs="Arial"/>
          <w:sz w:val="24"/>
          <w:lang w:val="es-PR"/>
        </w:rPr>
        <w:t>monitoreo</w:t>
      </w:r>
      <w:r w:rsidR="00600F78" w:rsidRPr="00E2021F">
        <w:rPr>
          <w:rFonts w:ascii="Arial" w:hAnsi="Arial" w:cs="Arial"/>
          <w:sz w:val="24"/>
          <w:lang w:val="es-PR"/>
        </w:rPr>
        <w:t xml:space="preserve"> </w:t>
      </w:r>
      <w:r w:rsidR="00E46D0A" w:rsidRPr="00E2021F">
        <w:rPr>
          <w:rFonts w:ascii="Arial" w:hAnsi="Arial" w:cs="Arial"/>
          <w:sz w:val="24"/>
          <w:lang w:val="es-PR"/>
        </w:rPr>
        <w:t>de las tareas de lectura, órdenes de servicio y horas de entrada y salida de los vehículos asignados al personal</w:t>
      </w:r>
      <w:r w:rsidRPr="00E2021F">
        <w:rPr>
          <w:rFonts w:ascii="Arial" w:hAnsi="Arial" w:cs="Arial"/>
          <w:sz w:val="24"/>
          <w:lang w:val="es-PR"/>
        </w:rPr>
        <w:t xml:space="preserve">.  Además, </w:t>
      </w:r>
      <w:r w:rsidR="00600F78">
        <w:rPr>
          <w:rFonts w:ascii="Arial" w:hAnsi="Arial" w:cs="Arial"/>
          <w:sz w:val="24"/>
          <w:lang w:val="es-PR"/>
        </w:rPr>
        <w:t>desde el CSR también se supervisa</w:t>
      </w:r>
      <w:r w:rsidR="00E46D0A" w:rsidRPr="00E2021F">
        <w:rPr>
          <w:rFonts w:ascii="Arial" w:hAnsi="Arial" w:cs="Arial"/>
          <w:sz w:val="24"/>
          <w:lang w:val="es-PR"/>
        </w:rPr>
        <w:t>la ejecución de los empleados de las oficinas comerciales.</w:t>
      </w:r>
    </w:p>
    <w:p w14:paraId="3CFEC142" w14:textId="77777777" w:rsidR="00E2021F" w:rsidRDefault="008B48F6" w:rsidP="00E2021F">
      <w:pPr>
        <w:jc w:val="both"/>
        <w:rPr>
          <w:rFonts w:ascii="Arial" w:hAnsi="Arial" w:cs="Arial"/>
          <w:sz w:val="24"/>
          <w:lang w:val="es-PR"/>
        </w:rPr>
      </w:pPr>
      <w:r>
        <w:rPr>
          <w:rFonts w:ascii="Arial" w:hAnsi="Arial" w:cs="Arial"/>
          <w:b/>
          <w:sz w:val="24"/>
          <w:lang w:val="es-PR"/>
        </w:rPr>
        <w:t xml:space="preserve">Consolidación de Oficinas Comerciales e </w:t>
      </w:r>
      <w:r w:rsidR="00E46D0A" w:rsidRPr="00E2021F">
        <w:rPr>
          <w:rFonts w:ascii="Arial" w:hAnsi="Arial" w:cs="Arial"/>
          <w:b/>
          <w:sz w:val="24"/>
          <w:lang w:val="es-PR"/>
        </w:rPr>
        <w:t>Implementación</w:t>
      </w:r>
      <w:r w:rsidR="00E2021F">
        <w:rPr>
          <w:rFonts w:ascii="Arial" w:hAnsi="Arial" w:cs="Arial"/>
          <w:b/>
          <w:sz w:val="24"/>
          <w:lang w:val="es-PR"/>
        </w:rPr>
        <w:t xml:space="preserve"> de “Back Offices” regionales</w:t>
      </w:r>
    </w:p>
    <w:p w14:paraId="1448CBC2" w14:textId="26FCD52E" w:rsidR="00961838" w:rsidRPr="00E2021F" w:rsidRDefault="008B48F6" w:rsidP="00E2021F">
      <w:pPr>
        <w:jc w:val="both"/>
        <w:rPr>
          <w:rFonts w:ascii="Arial" w:hAnsi="Arial" w:cs="Arial"/>
          <w:sz w:val="24"/>
          <w:lang w:val="es-PR"/>
        </w:rPr>
      </w:pPr>
      <w:r>
        <w:rPr>
          <w:rFonts w:ascii="Arial" w:hAnsi="Arial" w:cs="Arial"/>
          <w:sz w:val="24"/>
          <w:lang w:val="es-PR"/>
        </w:rPr>
        <w:t>Para aumentar la eficiencia y dado todos los avances tecnológicos en canales de comunicación y servicio con los clientes, se redujeron el número de Oficinas Comerciales de 26 a 11.  Además, l</w:t>
      </w:r>
      <w:r w:rsidR="00E46D0A" w:rsidRPr="00E2021F">
        <w:rPr>
          <w:rFonts w:ascii="Arial" w:hAnsi="Arial" w:cs="Arial"/>
          <w:sz w:val="24"/>
          <w:lang w:val="es-PR"/>
        </w:rPr>
        <w:t xml:space="preserve">as tareas de apoyo a la gestión de clientes </w:t>
      </w:r>
      <w:r>
        <w:rPr>
          <w:rFonts w:ascii="Arial" w:hAnsi="Arial" w:cs="Arial"/>
          <w:sz w:val="24"/>
          <w:lang w:val="es-PR"/>
        </w:rPr>
        <w:t xml:space="preserve">“back office” </w:t>
      </w:r>
      <w:r w:rsidR="00E46D0A" w:rsidRPr="00E2021F">
        <w:rPr>
          <w:rFonts w:ascii="Arial" w:hAnsi="Arial" w:cs="Arial"/>
          <w:sz w:val="24"/>
          <w:lang w:val="es-PR"/>
        </w:rPr>
        <w:t>fueron centralizadas a nivel regional en lugar de tener personal para cada oficina comercial maximizando la utilización de los empleados.</w:t>
      </w:r>
    </w:p>
    <w:p w14:paraId="47BD8F98" w14:textId="4C8B0866" w:rsidR="00E2021F" w:rsidRDefault="00E46D0A" w:rsidP="00E2021F">
      <w:pPr>
        <w:jc w:val="both"/>
        <w:rPr>
          <w:rFonts w:ascii="Arial" w:hAnsi="Arial" w:cs="Arial"/>
          <w:sz w:val="24"/>
          <w:lang w:val="es-PR"/>
        </w:rPr>
      </w:pPr>
      <w:r w:rsidRPr="00E2021F">
        <w:rPr>
          <w:rFonts w:ascii="Arial" w:hAnsi="Arial" w:cs="Arial"/>
          <w:b/>
          <w:sz w:val="24"/>
          <w:lang w:val="es-PR"/>
        </w:rPr>
        <w:t xml:space="preserve">Implementación </w:t>
      </w:r>
      <w:r w:rsidR="008B48F6">
        <w:rPr>
          <w:rFonts w:ascii="Arial" w:hAnsi="Arial" w:cs="Arial"/>
          <w:b/>
          <w:sz w:val="24"/>
          <w:lang w:val="es-PR"/>
        </w:rPr>
        <w:t xml:space="preserve">de Control de </w:t>
      </w:r>
      <w:r w:rsidRPr="00E2021F">
        <w:rPr>
          <w:rFonts w:ascii="Arial" w:hAnsi="Arial" w:cs="Arial"/>
          <w:b/>
          <w:sz w:val="24"/>
          <w:lang w:val="es-PR"/>
        </w:rPr>
        <w:t xml:space="preserve">Calidad </w:t>
      </w:r>
      <w:r w:rsidR="008B48F6">
        <w:rPr>
          <w:rFonts w:ascii="Arial" w:hAnsi="Arial" w:cs="Arial"/>
          <w:b/>
          <w:sz w:val="24"/>
          <w:lang w:val="es-PR"/>
        </w:rPr>
        <w:t>en</w:t>
      </w:r>
      <w:r w:rsidR="008B48F6" w:rsidRPr="00E2021F">
        <w:rPr>
          <w:rFonts w:ascii="Arial" w:hAnsi="Arial" w:cs="Arial"/>
          <w:b/>
          <w:sz w:val="24"/>
          <w:lang w:val="es-PR"/>
        </w:rPr>
        <w:t xml:space="preserve"> </w:t>
      </w:r>
      <w:r w:rsidRPr="00E2021F">
        <w:rPr>
          <w:rFonts w:ascii="Arial" w:hAnsi="Arial" w:cs="Arial"/>
          <w:b/>
          <w:sz w:val="24"/>
          <w:lang w:val="es-PR"/>
        </w:rPr>
        <w:t>Servicio al Cliente</w:t>
      </w:r>
    </w:p>
    <w:p w14:paraId="4E3A83F3" w14:textId="11DB3830" w:rsidR="00961838" w:rsidRPr="00E2021F" w:rsidRDefault="008B48F6" w:rsidP="00E2021F">
      <w:pPr>
        <w:jc w:val="both"/>
        <w:rPr>
          <w:rFonts w:ascii="Arial" w:hAnsi="Arial" w:cs="Arial"/>
          <w:sz w:val="24"/>
          <w:lang w:val="es-PR"/>
        </w:rPr>
      </w:pPr>
      <w:r>
        <w:rPr>
          <w:rFonts w:ascii="Arial" w:hAnsi="Arial" w:cs="Arial"/>
          <w:sz w:val="24"/>
          <w:lang w:val="es-PR"/>
        </w:rPr>
        <w:t>Se creó e institucionalizó un</w:t>
      </w:r>
      <w:r w:rsidRPr="00E2021F">
        <w:rPr>
          <w:rFonts w:ascii="Arial" w:hAnsi="Arial" w:cs="Arial"/>
          <w:sz w:val="24"/>
          <w:lang w:val="es-PR"/>
        </w:rPr>
        <w:t xml:space="preserve"> </w:t>
      </w:r>
      <w:r w:rsidR="00E46D0A" w:rsidRPr="00E2021F">
        <w:rPr>
          <w:rFonts w:ascii="Arial" w:hAnsi="Arial" w:cs="Arial"/>
          <w:sz w:val="24"/>
          <w:lang w:val="es-PR"/>
        </w:rPr>
        <w:t xml:space="preserve">programa para revisiones de calidad en servicios al cliente a nivel isla. </w:t>
      </w:r>
      <w:r>
        <w:rPr>
          <w:rFonts w:ascii="Arial" w:hAnsi="Arial" w:cs="Arial"/>
          <w:sz w:val="24"/>
          <w:lang w:val="es-PR"/>
        </w:rPr>
        <w:t>Como parte de este esfuerzo se</w:t>
      </w:r>
      <w:r w:rsidRPr="00E2021F">
        <w:rPr>
          <w:rFonts w:ascii="Arial" w:hAnsi="Arial" w:cs="Arial"/>
          <w:sz w:val="24"/>
          <w:lang w:val="es-PR"/>
        </w:rPr>
        <w:t xml:space="preserve"> </w:t>
      </w:r>
      <w:r w:rsidR="00E46D0A" w:rsidRPr="00E2021F">
        <w:rPr>
          <w:rFonts w:ascii="Arial" w:hAnsi="Arial" w:cs="Arial"/>
          <w:sz w:val="24"/>
          <w:lang w:val="es-PR"/>
        </w:rPr>
        <w:t>desarrolló una aplicación para llevar a cabo revisiones administrativas y operacionales</w:t>
      </w:r>
    </w:p>
    <w:p w14:paraId="35E4D0ED" w14:textId="77777777" w:rsidR="008B48F6" w:rsidRDefault="00E46D0A" w:rsidP="00E2021F">
      <w:pPr>
        <w:jc w:val="both"/>
        <w:rPr>
          <w:rFonts w:ascii="Arial" w:hAnsi="Arial" w:cs="Arial"/>
          <w:b/>
          <w:sz w:val="24"/>
          <w:szCs w:val="24"/>
          <w:lang w:val="es-ES"/>
        </w:rPr>
      </w:pPr>
      <w:r w:rsidRPr="00E2021F">
        <w:rPr>
          <w:rFonts w:ascii="Arial" w:hAnsi="Arial" w:cs="Arial"/>
          <w:b/>
          <w:sz w:val="24"/>
          <w:lang w:val="es-PR"/>
        </w:rPr>
        <w:t>Incorporación de clientes de alcantarillad</w:t>
      </w:r>
      <w:r w:rsidRPr="00E2021F">
        <w:rPr>
          <w:rFonts w:ascii="Arial" w:hAnsi="Arial" w:cs="Arial"/>
          <w:b/>
          <w:sz w:val="24"/>
          <w:szCs w:val="24"/>
          <w:lang w:val="es-ES"/>
        </w:rPr>
        <w:t>o</w:t>
      </w:r>
    </w:p>
    <w:p w14:paraId="262FF129" w14:textId="27A532B3" w:rsidR="00E46D0A" w:rsidRPr="00E2021F" w:rsidRDefault="00E46D0A" w:rsidP="00E2021F">
      <w:pPr>
        <w:jc w:val="both"/>
        <w:rPr>
          <w:rFonts w:ascii="Arial" w:hAnsi="Arial" w:cs="Arial"/>
          <w:sz w:val="24"/>
          <w:lang w:val="es-PR"/>
        </w:rPr>
      </w:pPr>
      <w:r w:rsidRPr="00E2021F">
        <w:rPr>
          <w:rFonts w:ascii="Arial" w:hAnsi="Arial" w:cs="Arial"/>
          <w:sz w:val="24"/>
          <w:szCs w:val="24"/>
          <w:lang w:val="es-PR"/>
        </w:rPr>
        <w:t>Iniciativa para incorporación de clientes de Alcantarillado que no  se les cobraba el servicio de alcantarillado alcanzando facturación de 27,555 cuentas y un total de $16.7 M a septiembre de 2016.</w:t>
      </w:r>
    </w:p>
    <w:p w14:paraId="18437C4D" w14:textId="77777777" w:rsidR="008B48F6" w:rsidRDefault="00E46D0A" w:rsidP="00E2021F">
      <w:pPr>
        <w:spacing w:line="256" w:lineRule="auto"/>
        <w:jc w:val="both"/>
        <w:rPr>
          <w:rFonts w:ascii="Arial" w:hAnsi="Arial" w:cs="Arial"/>
          <w:sz w:val="24"/>
          <w:szCs w:val="24"/>
          <w:lang w:val="es-ES"/>
        </w:rPr>
      </w:pPr>
      <w:r w:rsidRPr="00E2021F">
        <w:rPr>
          <w:rFonts w:ascii="Arial" w:hAnsi="Arial" w:cs="Arial"/>
          <w:b/>
          <w:sz w:val="24"/>
          <w:szCs w:val="24"/>
          <w:lang w:val="es-ES"/>
        </w:rPr>
        <w:t xml:space="preserve">Implementación  de facturación electrónica </w:t>
      </w:r>
    </w:p>
    <w:p w14:paraId="7004579B" w14:textId="5F40BD49" w:rsidR="00E46D0A" w:rsidRDefault="008B48F6" w:rsidP="00E2021F">
      <w:pPr>
        <w:spacing w:line="256" w:lineRule="auto"/>
        <w:jc w:val="both"/>
        <w:rPr>
          <w:rFonts w:ascii="Arial" w:hAnsi="Arial" w:cs="Arial"/>
          <w:color w:val="222222"/>
          <w:sz w:val="24"/>
          <w:lang w:val="es-PR"/>
        </w:rPr>
      </w:pPr>
      <w:r>
        <w:rPr>
          <w:rFonts w:ascii="Arial" w:hAnsi="Arial" w:cs="Arial"/>
          <w:color w:val="000000"/>
          <w:sz w:val="24"/>
          <w:lang w:val="es-PR"/>
        </w:rPr>
        <w:t>Se desarrolló una</w:t>
      </w:r>
      <w:r w:rsidRPr="00E2021F">
        <w:rPr>
          <w:rFonts w:ascii="Arial" w:hAnsi="Arial" w:cs="Arial"/>
          <w:color w:val="000000"/>
          <w:sz w:val="24"/>
          <w:lang w:val="es-PR"/>
        </w:rPr>
        <w:t xml:space="preserve"> </w:t>
      </w:r>
      <w:r w:rsidR="00E46D0A" w:rsidRPr="00E2021F">
        <w:rPr>
          <w:rFonts w:ascii="Arial" w:hAnsi="Arial" w:cs="Arial"/>
          <w:color w:val="000000"/>
          <w:sz w:val="24"/>
          <w:lang w:val="es-PR"/>
        </w:rPr>
        <w:t xml:space="preserve">alternativa para clientes de facturación electrónica en sustitución de la impresión y envío. </w:t>
      </w:r>
      <w:r w:rsidR="00E46D0A" w:rsidRPr="00E2021F">
        <w:rPr>
          <w:rFonts w:ascii="Arial" w:hAnsi="Arial" w:cs="Arial"/>
          <w:color w:val="222222"/>
          <w:sz w:val="24"/>
          <w:lang w:val="es-PR"/>
        </w:rPr>
        <w:t xml:space="preserve">Además, ofrece pagos de entrega y electrónicos para reducir aún más los costos de operación y mejorar el flujo de caja.  </w:t>
      </w:r>
    </w:p>
    <w:p w14:paraId="60A71436" w14:textId="77777777" w:rsidR="004C4232" w:rsidRPr="000A590E" w:rsidRDefault="004C4232" w:rsidP="004C4232">
      <w:pPr>
        <w:jc w:val="both"/>
        <w:rPr>
          <w:rFonts w:ascii="Arial" w:hAnsi="Arial" w:cs="Arial"/>
          <w:b/>
          <w:sz w:val="24"/>
          <w:lang w:val="es-PR"/>
        </w:rPr>
      </w:pPr>
      <w:r w:rsidRPr="000A590E">
        <w:rPr>
          <w:rFonts w:ascii="Arial" w:hAnsi="Arial" w:cs="Arial"/>
          <w:b/>
          <w:sz w:val="24"/>
          <w:lang w:val="es-PR"/>
        </w:rPr>
        <w:t>Compromiso de transparencia</w:t>
      </w:r>
    </w:p>
    <w:p w14:paraId="04BF4F9C" w14:textId="77777777" w:rsidR="004C4232" w:rsidRPr="000A590E" w:rsidRDefault="004C4232" w:rsidP="004C4232">
      <w:pPr>
        <w:jc w:val="both"/>
        <w:rPr>
          <w:rFonts w:ascii="Arial" w:hAnsi="Arial" w:cs="Arial"/>
          <w:sz w:val="24"/>
          <w:lang w:val="es-PR"/>
        </w:rPr>
      </w:pPr>
      <w:r>
        <w:rPr>
          <w:rFonts w:ascii="Arial" w:hAnsi="Arial" w:cs="Arial"/>
          <w:sz w:val="24"/>
          <w:lang w:val="es-PR"/>
        </w:rPr>
        <w:t>C</w:t>
      </w:r>
      <w:r w:rsidRPr="000A590E">
        <w:rPr>
          <w:rFonts w:ascii="Arial" w:hAnsi="Arial" w:cs="Arial"/>
          <w:sz w:val="24"/>
          <w:lang w:val="es-PR"/>
        </w:rPr>
        <w:t>reación de portales y “micro-sites” para proveer información a los ciudadanos entre los cuales sobresale:</w:t>
      </w:r>
    </w:p>
    <w:p w14:paraId="3A5DCE0B" w14:textId="77777777" w:rsidR="004C4232" w:rsidRPr="001E3D64" w:rsidRDefault="004C4232" w:rsidP="004C4232">
      <w:pPr>
        <w:pStyle w:val="ListParagraph"/>
        <w:numPr>
          <w:ilvl w:val="0"/>
          <w:numId w:val="2"/>
        </w:numPr>
        <w:jc w:val="both"/>
        <w:rPr>
          <w:rFonts w:ascii="Arial" w:hAnsi="Arial" w:cs="Arial"/>
          <w:sz w:val="24"/>
          <w:lang w:val="es-PR"/>
        </w:rPr>
      </w:pPr>
      <w:r w:rsidRPr="001E3D64">
        <w:rPr>
          <w:rFonts w:ascii="Arial" w:hAnsi="Arial" w:cs="Arial"/>
          <w:sz w:val="24"/>
          <w:lang w:val="es-PR"/>
        </w:rPr>
        <w:t xml:space="preserve">Tan claro como el agua.com </w:t>
      </w:r>
    </w:p>
    <w:p w14:paraId="3BB64294" w14:textId="77777777" w:rsidR="004C4232" w:rsidRPr="001E3D64" w:rsidRDefault="004C4232" w:rsidP="004C4232">
      <w:pPr>
        <w:pStyle w:val="ListParagraph"/>
        <w:numPr>
          <w:ilvl w:val="0"/>
          <w:numId w:val="2"/>
        </w:numPr>
        <w:jc w:val="both"/>
        <w:rPr>
          <w:rFonts w:ascii="Arial" w:hAnsi="Arial" w:cs="Arial"/>
          <w:sz w:val="24"/>
          <w:lang w:val="es-PR"/>
        </w:rPr>
      </w:pPr>
      <w:r w:rsidRPr="001E3D64">
        <w:rPr>
          <w:rFonts w:ascii="Arial" w:hAnsi="Arial" w:cs="Arial"/>
          <w:sz w:val="24"/>
          <w:lang w:val="es-PR"/>
        </w:rPr>
        <w:t>Informes de Rendición de Cuentas publicados trimestralmente</w:t>
      </w:r>
    </w:p>
    <w:p w14:paraId="4485EB77" w14:textId="37327C81" w:rsidR="004C4232" w:rsidRPr="001E3D64" w:rsidRDefault="004C4232" w:rsidP="004C4232">
      <w:pPr>
        <w:pStyle w:val="ListParagraph"/>
        <w:numPr>
          <w:ilvl w:val="0"/>
          <w:numId w:val="2"/>
        </w:numPr>
        <w:jc w:val="both"/>
        <w:rPr>
          <w:rFonts w:ascii="Arial" w:hAnsi="Arial" w:cs="Arial"/>
          <w:sz w:val="24"/>
          <w:lang w:val="es-PR"/>
        </w:rPr>
      </w:pPr>
      <w:r w:rsidRPr="001E3D64">
        <w:rPr>
          <w:rFonts w:ascii="Arial" w:hAnsi="Arial" w:cs="Arial"/>
          <w:sz w:val="24"/>
          <w:lang w:val="es-PR"/>
        </w:rPr>
        <w:t>Página de información para inversionistas</w:t>
      </w:r>
    </w:p>
    <w:p w14:paraId="27F00FE5" w14:textId="77777777" w:rsidR="00B74A56" w:rsidRDefault="00B74A56" w:rsidP="00B74A56">
      <w:pPr>
        <w:jc w:val="both"/>
        <w:rPr>
          <w:rFonts w:ascii="Arial" w:hAnsi="Arial" w:cs="Arial"/>
          <w:sz w:val="24"/>
          <w:lang w:val="es-PR"/>
        </w:rPr>
      </w:pPr>
    </w:p>
    <w:p w14:paraId="39A2B48D" w14:textId="77777777" w:rsidR="00B74A56" w:rsidRPr="00B74A56" w:rsidRDefault="00B74A56" w:rsidP="00B74A56">
      <w:pPr>
        <w:jc w:val="both"/>
        <w:rPr>
          <w:rFonts w:ascii="Arial" w:hAnsi="Arial" w:cs="Arial"/>
          <w:sz w:val="24"/>
          <w:lang w:val="es-PR"/>
        </w:rPr>
      </w:pPr>
    </w:p>
    <w:p w14:paraId="71A1DA01" w14:textId="51AA8DBC" w:rsidR="008B48F6" w:rsidRDefault="00E46D0A" w:rsidP="00857734">
      <w:pPr>
        <w:jc w:val="both"/>
        <w:rPr>
          <w:rFonts w:ascii="Arial" w:hAnsi="Arial" w:cs="Arial"/>
          <w:sz w:val="24"/>
          <w:szCs w:val="24"/>
          <w:lang w:val="es-ES"/>
        </w:rPr>
      </w:pPr>
      <w:r w:rsidRPr="00857734">
        <w:rPr>
          <w:rFonts w:ascii="Arial" w:hAnsi="Arial" w:cs="Arial"/>
          <w:b/>
          <w:sz w:val="24"/>
          <w:szCs w:val="24"/>
          <w:lang w:val="es-ES"/>
        </w:rPr>
        <w:lastRenderedPageBreak/>
        <w:t xml:space="preserve">Internado </w:t>
      </w:r>
      <w:r w:rsidR="008B48F6">
        <w:rPr>
          <w:rFonts w:ascii="Arial" w:hAnsi="Arial" w:cs="Arial"/>
          <w:b/>
          <w:sz w:val="24"/>
          <w:szCs w:val="24"/>
          <w:lang w:val="es-ES"/>
        </w:rPr>
        <w:t>“</w:t>
      </w:r>
      <w:r w:rsidR="008B48F6" w:rsidRPr="00871F3B">
        <w:rPr>
          <w:rFonts w:ascii="Arial" w:hAnsi="Arial" w:cs="Arial"/>
          <w:b/>
          <w:i/>
          <w:sz w:val="24"/>
          <w:szCs w:val="24"/>
          <w:lang w:val="es-ES"/>
        </w:rPr>
        <w:t xml:space="preserve">Mi </w:t>
      </w:r>
      <w:r w:rsidRPr="00871F3B">
        <w:rPr>
          <w:rFonts w:ascii="Arial" w:hAnsi="Arial" w:cs="Arial"/>
          <w:b/>
          <w:i/>
          <w:sz w:val="24"/>
          <w:szCs w:val="24"/>
          <w:lang w:val="es-ES"/>
        </w:rPr>
        <w:t>primera experiencia laboral</w:t>
      </w:r>
      <w:r w:rsidR="008B48F6">
        <w:rPr>
          <w:rFonts w:ascii="Arial" w:hAnsi="Arial" w:cs="Arial"/>
          <w:b/>
          <w:sz w:val="24"/>
          <w:szCs w:val="24"/>
          <w:lang w:val="es-ES"/>
        </w:rPr>
        <w:t>”</w:t>
      </w:r>
      <w:r w:rsidRPr="00857734">
        <w:rPr>
          <w:rFonts w:ascii="Arial" w:hAnsi="Arial" w:cs="Arial"/>
          <w:sz w:val="24"/>
          <w:szCs w:val="24"/>
          <w:lang w:val="es-ES"/>
        </w:rPr>
        <w:t xml:space="preserve"> </w:t>
      </w:r>
    </w:p>
    <w:p w14:paraId="309908C5" w14:textId="6397631B" w:rsidR="004C4232" w:rsidRPr="00FE0CE3" w:rsidRDefault="006905EC" w:rsidP="00857734">
      <w:pPr>
        <w:jc w:val="both"/>
        <w:rPr>
          <w:rFonts w:ascii="Arial" w:hAnsi="Arial" w:cs="Arial"/>
          <w:sz w:val="24"/>
          <w:szCs w:val="24"/>
          <w:lang w:val="es-ES"/>
        </w:rPr>
      </w:pPr>
      <w:r w:rsidRPr="00871F3B">
        <w:rPr>
          <w:rFonts w:ascii="Arial" w:hAnsi="Arial" w:cs="Arial"/>
          <w:sz w:val="24"/>
          <w:lang w:val="es-PR"/>
        </w:rPr>
        <w:t>Con el fin de proveer a los universitarios la oportunidad de obtener la primera experiencia laboral en su campo de estudio, se firmaron alianza</w:t>
      </w:r>
      <w:r>
        <w:rPr>
          <w:rFonts w:ascii="Arial" w:hAnsi="Arial" w:cs="Arial"/>
          <w:sz w:val="24"/>
          <w:lang w:val="es-PR"/>
        </w:rPr>
        <w:t>s</w:t>
      </w:r>
      <w:r w:rsidRPr="00871F3B">
        <w:rPr>
          <w:rFonts w:ascii="Arial" w:hAnsi="Arial" w:cs="Arial"/>
          <w:sz w:val="24"/>
          <w:lang w:val="es-PR"/>
        </w:rPr>
        <w:t xml:space="preserve"> colaborativa</w:t>
      </w:r>
      <w:r>
        <w:rPr>
          <w:rFonts w:ascii="Arial" w:hAnsi="Arial" w:cs="Arial"/>
          <w:sz w:val="24"/>
          <w:lang w:val="es-PR"/>
        </w:rPr>
        <w:t xml:space="preserve">s con varias instituciones universitarias. </w:t>
      </w:r>
      <w:r w:rsidRPr="00871F3B">
        <w:rPr>
          <w:rFonts w:ascii="Arial" w:hAnsi="Arial" w:cs="Arial"/>
          <w:sz w:val="24"/>
          <w:lang w:val="es-PR"/>
        </w:rPr>
        <w:t xml:space="preserve">El objetivo, al finalizar el periodo de práctica, es que los estudiantes hayan logrado desarrollar destrezas y aptitudes para enfrentar su carrera profesional, además de haber adquirido una conciencia social sobre la conservación del agua. </w:t>
      </w:r>
      <w:r w:rsidR="00E46D0A" w:rsidRPr="006905EC">
        <w:rPr>
          <w:rFonts w:ascii="Arial" w:hAnsi="Arial" w:cs="Arial"/>
          <w:sz w:val="24"/>
          <w:szCs w:val="24"/>
          <w:lang w:val="es-ES"/>
        </w:rPr>
        <w:t xml:space="preserve">A </w:t>
      </w:r>
      <w:r w:rsidR="00E46D0A" w:rsidRPr="00871F3B">
        <w:rPr>
          <w:rFonts w:ascii="Arial" w:hAnsi="Arial" w:cs="Arial"/>
          <w:color w:val="000000"/>
          <w:sz w:val="24"/>
          <w:lang w:val="es-PR"/>
        </w:rPr>
        <w:t xml:space="preserve">agosto 2016 han </w:t>
      </w:r>
      <w:r>
        <w:rPr>
          <w:rFonts w:ascii="Arial" w:hAnsi="Arial" w:cs="Arial"/>
          <w:color w:val="000000"/>
          <w:sz w:val="24"/>
          <w:lang w:val="es-PR"/>
        </w:rPr>
        <w:t>participado</w:t>
      </w:r>
      <w:r w:rsidRPr="00871F3B">
        <w:rPr>
          <w:rFonts w:ascii="Arial" w:hAnsi="Arial" w:cs="Arial"/>
          <w:color w:val="000000"/>
          <w:sz w:val="24"/>
          <w:lang w:val="es-PR"/>
        </w:rPr>
        <w:t xml:space="preserve"> </w:t>
      </w:r>
      <w:r w:rsidR="00E46D0A" w:rsidRPr="00871F3B">
        <w:rPr>
          <w:rFonts w:ascii="Arial" w:hAnsi="Arial" w:cs="Arial"/>
          <w:color w:val="000000"/>
          <w:sz w:val="24"/>
          <w:lang w:val="es-PR"/>
        </w:rPr>
        <w:t>cerca de</w:t>
      </w:r>
      <w:r w:rsidR="00E46D0A" w:rsidRPr="00857734">
        <w:rPr>
          <w:rFonts w:ascii="Arial" w:hAnsi="Arial" w:cs="Arial"/>
          <w:sz w:val="24"/>
          <w:szCs w:val="24"/>
          <w:lang w:val="es-ES"/>
        </w:rPr>
        <w:t xml:space="preserve"> cuatrocientos cincuenta (450) estudiantes de la UPR a nivel isla, setenta (70) estudiantes de la </w:t>
      </w:r>
      <w:r>
        <w:rPr>
          <w:rFonts w:ascii="Arial" w:hAnsi="Arial" w:cs="Arial"/>
          <w:sz w:val="24"/>
          <w:szCs w:val="24"/>
          <w:lang w:val="es-ES"/>
        </w:rPr>
        <w:t>Universidad Politécnica</w:t>
      </w:r>
      <w:r w:rsidR="00E46D0A" w:rsidRPr="00857734">
        <w:rPr>
          <w:rFonts w:ascii="Arial" w:hAnsi="Arial" w:cs="Arial"/>
          <w:sz w:val="24"/>
          <w:szCs w:val="24"/>
          <w:lang w:val="es-ES"/>
        </w:rPr>
        <w:t>, y (5) cinco estudiantes de</w:t>
      </w:r>
      <w:r>
        <w:rPr>
          <w:rFonts w:ascii="Arial" w:hAnsi="Arial" w:cs="Arial"/>
          <w:sz w:val="24"/>
          <w:szCs w:val="24"/>
          <w:lang w:val="es-ES"/>
        </w:rPr>
        <w:t xml:space="preserve"> la Universidad</w:t>
      </w:r>
      <w:r w:rsidR="00E46D0A" w:rsidRPr="00857734">
        <w:rPr>
          <w:rFonts w:ascii="Arial" w:hAnsi="Arial" w:cs="Arial"/>
          <w:sz w:val="24"/>
          <w:szCs w:val="24"/>
          <w:lang w:val="es-ES"/>
        </w:rPr>
        <w:t xml:space="preserve"> Interamericana.</w:t>
      </w:r>
    </w:p>
    <w:p w14:paraId="3CC7991D" w14:textId="7604503E" w:rsidR="008B48F6" w:rsidRDefault="00E46D0A" w:rsidP="00857734">
      <w:pPr>
        <w:jc w:val="both"/>
        <w:rPr>
          <w:rFonts w:ascii="Arial" w:hAnsi="Arial" w:cs="Arial"/>
          <w:sz w:val="24"/>
          <w:szCs w:val="24"/>
          <w:lang w:val="es-ES"/>
        </w:rPr>
      </w:pPr>
      <w:r w:rsidRPr="00857734">
        <w:rPr>
          <w:rFonts w:ascii="Arial" w:hAnsi="Arial" w:cs="Arial"/>
          <w:b/>
          <w:sz w:val="24"/>
          <w:szCs w:val="24"/>
          <w:lang w:val="es-ES"/>
        </w:rPr>
        <w:t>Plan de Capacitación y Educación Continua</w:t>
      </w:r>
      <w:r w:rsidRPr="00857734">
        <w:rPr>
          <w:rFonts w:ascii="Arial" w:hAnsi="Arial" w:cs="Arial"/>
          <w:sz w:val="24"/>
          <w:szCs w:val="24"/>
          <w:lang w:val="es-ES"/>
        </w:rPr>
        <w:t xml:space="preserve"> </w:t>
      </w:r>
    </w:p>
    <w:p w14:paraId="5049D516" w14:textId="25B180F1" w:rsidR="00570BDE" w:rsidRPr="00857734" w:rsidRDefault="00BC35C3" w:rsidP="00857734">
      <w:pPr>
        <w:jc w:val="both"/>
        <w:rPr>
          <w:rFonts w:ascii="Arial" w:hAnsi="Arial" w:cs="Arial"/>
          <w:sz w:val="24"/>
          <w:szCs w:val="24"/>
          <w:lang w:val="es-ES_tradnl"/>
        </w:rPr>
      </w:pPr>
      <w:r>
        <w:rPr>
          <w:rFonts w:ascii="Arial" w:hAnsi="Arial" w:cs="Arial"/>
          <w:sz w:val="24"/>
          <w:szCs w:val="24"/>
          <w:lang w:val="es-ES_tradnl"/>
        </w:rPr>
        <w:t>Diseño e implementación de un nuevo Plan de Capacitación para la</w:t>
      </w:r>
      <w:r w:rsidRPr="006A09BC">
        <w:rPr>
          <w:rFonts w:ascii="Arial" w:hAnsi="Arial" w:cs="Arial"/>
          <w:sz w:val="24"/>
          <w:szCs w:val="24"/>
          <w:lang w:val="es-ES_tradnl"/>
        </w:rPr>
        <w:t xml:space="preserve"> AAA </w:t>
      </w:r>
      <w:r>
        <w:rPr>
          <w:rFonts w:ascii="Arial" w:hAnsi="Arial" w:cs="Arial"/>
          <w:sz w:val="24"/>
          <w:szCs w:val="24"/>
          <w:lang w:val="es-ES_tradnl"/>
        </w:rPr>
        <w:t xml:space="preserve">como parte de </w:t>
      </w:r>
      <w:r w:rsidRPr="006A09BC">
        <w:rPr>
          <w:rFonts w:ascii="Arial" w:hAnsi="Arial" w:cs="Arial"/>
          <w:sz w:val="24"/>
          <w:szCs w:val="24"/>
          <w:lang w:val="es-ES_tradnl"/>
        </w:rPr>
        <w:t xml:space="preserve">requisito mínimo </w:t>
      </w:r>
      <w:r>
        <w:rPr>
          <w:rFonts w:ascii="Arial" w:hAnsi="Arial" w:cs="Arial"/>
          <w:sz w:val="24"/>
          <w:szCs w:val="24"/>
          <w:lang w:val="es-ES_tradnl"/>
        </w:rPr>
        <w:t xml:space="preserve">con la EPA </w:t>
      </w:r>
      <w:r w:rsidRPr="006A09BC">
        <w:rPr>
          <w:rFonts w:ascii="Arial" w:hAnsi="Arial" w:cs="Arial"/>
          <w:sz w:val="24"/>
          <w:szCs w:val="24"/>
          <w:lang w:val="es-ES_tradnl"/>
        </w:rPr>
        <w:t>de varios de los pro</w:t>
      </w:r>
      <w:r>
        <w:rPr>
          <w:rFonts w:ascii="Arial" w:hAnsi="Arial" w:cs="Arial"/>
          <w:sz w:val="24"/>
          <w:szCs w:val="24"/>
          <w:lang w:val="es-ES_tradnl"/>
        </w:rPr>
        <w:t xml:space="preserve">gramas incluidos en el Acuerdo. </w:t>
      </w:r>
      <w:r w:rsidR="00EF6BB5">
        <w:rPr>
          <w:rFonts w:ascii="Arial" w:hAnsi="Arial" w:cs="Arial"/>
          <w:sz w:val="24"/>
          <w:szCs w:val="24"/>
          <w:lang w:val="es-ES_tradnl"/>
        </w:rPr>
        <w:t xml:space="preserve">El plan incluye </w:t>
      </w:r>
      <w:r w:rsidR="00EF6BB5" w:rsidRPr="00857734">
        <w:rPr>
          <w:rFonts w:ascii="Arial" w:hAnsi="Arial" w:cs="Arial"/>
          <w:sz w:val="24"/>
          <w:szCs w:val="24"/>
          <w:lang w:val="es-ES_tradnl"/>
        </w:rPr>
        <w:t>un total estimado de 500 empleados semanalmente participando de</w:t>
      </w:r>
      <w:r w:rsidR="00EF6BB5">
        <w:rPr>
          <w:rFonts w:ascii="Arial" w:hAnsi="Arial" w:cs="Arial"/>
          <w:sz w:val="24"/>
          <w:szCs w:val="24"/>
          <w:lang w:val="es-ES_tradnl"/>
        </w:rPr>
        <w:t xml:space="preserve"> </w:t>
      </w:r>
      <w:r w:rsidR="00EF6BB5" w:rsidRPr="00857734">
        <w:rPr>
          <w:rFonts w:ascii="Arial" w:hAnsi="Arial" w:cs="Arial"/>
          <w:sz w:val="24"/>
          <w:szCs w:val="24"/>
          <w:lang w:val="es-ES_tradnl"/>
        </w:rPr>
        <w:t xml:space="preserve"> distintos adiestramientos</w:t>
      </w:r>
      <w:r w:rsidR="00EF6BB5">
        <w:rPr>
          <w:rFonts w:ascii="Arial" w:hAnsi="Arial" w:cs="Arial"/>
          <w:sz w:val="24"/>
          <w:szCs w:val="24"/>
          <w:lang w:val="es-ES_tradnl"/>
        </w:rPr>
        <w:t xml:space="preserve"> a tono  con los</w:t>
      </w:r>
      <w:r w:rsidRPr="006A09BC">
        <w:rPr>
          <w:rFonts w:ascii="Arial" w:hAnsi="Arial" w:cs="Arial"/>
          <w:sz w:val="24"/>
          <w:szCs w:val="24"/>
          <w:lang w:val="es-ES_tradnl"/>
        </w:rPr>
        <w:t xml:space="preserve"> niveles de responsabilidades y exigencias </w:t>
      </w:r>
      <w:r>
        <w:rPr>
          <w:rFonts w:ascii="Arial" w:hAnsi="Arial" w:cs="Arial"/>
          <w:sz w:val="24"/>
          <w:szCs w:val="24"/>
          <w:lang w:val="es-ES_tradnl"/>
        </w:rPr>
        <w:t>en el adiestramiento del personal de la AAA</w:t>
      </w:r>
      <w:r w:rsidR="00EF6BB5">
        <w:rPr>
          <w:rFonts w:ascii="Arial" w:hAnsi="Arial" w:cs="Arial"/>
          <w:sz w:val="24"/>
          <w:szCs w:val="24"/>
          <w:lang w:val="es-ES_tradnl"/>
        </w:rPr>
        <w:t>,</w:t>
      </w:r>
      <w:r>
        <w:rPr>
          <w:rFonts w:ascii="Arial" w:hAnsi="Arial" w:cs="Arial"/>
          <w:sz w:val="24"/>
          <w:szCs w:val="24"/>
          <w:lang w:val="es-ES_tradnl"/>
        </w:rPr>
        <w:t xml:space="preserve"> </w:t>
      </w:r>
      <w:r w:rsidR="00EF6BB5">
        <w:rPr>
          <w:rFonts w:ascii="Arial" w:hAnsi="Arial" w:cs="Arial"/>
          <w:sz w:val="24"/>
          <w:szCs w:val="24"/>
          <w:lang w:val="es-ES_tradnl"/>
        </w:rPr>
        <w:t>unido</w:t>
      </w:r>
      <w:r w:rsidRPr="006A09BC">
        <w:rPr>
          <w:rFonts w:ascii="Arial" w:hAnsi="Arial" w:cs="Arial"/>
          <w:sz w:val="24"/>
          <w:szCs w:val="24"/>
          <w:lang w:val="es-ES_tradnl"/>
        </w:rPr>
        <w:t xml:space="preserve">s a la complejidad de cumplir con otras leyes y regulaciones </w:t>
      </w:r>
      <w:r>
        <w:rPr>
          <w:rFonts w:ascii="Arial" w:hAnsi="Arial" w:cs="Arial"/>
          <w:sz w:val="24"/>
          <w:szCs w:val="24"/>
          <w:lang w:val="es-ES_tradnl"/>
        </w:rPr>
        <w:t>(</w:t>
      </w:r>
      <w:r w:rsidRPr="006A09BC">
        <w:rPr>
          <w:rFonts w:ascii="Arial" w:hAnsi="Arial" w:cs="Arial"/>
          <w:sz w:val="24"/>
          <w:szCs w:val="24"/>
          <w:lang w:val="es-ES_tradnl"/>
        </w:rPr>
        <w:t>ambientales, técnicas y generales</w:t>
      </w:r>
      <w:r>
        <w:rPr>
          <w:rFonts w:ascii="Arial" w:hAnsi="Arial" w:cs="Arial"/>
          <w:sz w:val="24"/>
          <w:szCs w:val="24"/>
          <w:lang w:val="es-ES_tradnl"/>
        </w:rPr>
        <w:t>)</w:t>
      </w:r>
      <w:r w:rsidRPr="006A09BC">
        <w:rPr>
          <w:rFonts w:ascii="Arial" w:hAnsi="Arial" w:cs="Arial"/>
          <w:sz w:val="24"/>
          <w:szCs w:val="24"/>
          <w:lang w:val="es-ES_tradnl"/>
        </w:rPr>
        <w:t xml:space="preserve">, requisitos de licencias y educación continua para diversos puestos técnicos y profesionales, </w:t>
      </w:r>
      <w:r>
        <w:rPr>
          <w:rFonts w:ascii="Arial" w:hAnsi="Arial" w:cs="Arial"/>
          <w:sz w:val="24"/>
          <w:szCs w:val="24"/>
          <w:lang w:val="es-ES_tradnl"/>
        </w:rPr>
        <w:t xml:space="preserve">adicional a </w:t>
      </w:r>
      <w:r w:rsidRPr="006A09BC">
        <w:rPr>
          <w:rFonts w:ascii="Arial" w:hAnsi="Arial" w:cs="Arial"/>
          <w:sz w:val="24"/>
          <w:szCs w:val="24"/>
          <w:lang w:val="es-ES_tradnl"/>
        </w:rPr>
        <w:t xml:space="preserve">requerimientos de igualdad de oportunidades de empleo y planes de acción afirmativa, requisitos educativos de la Ley de Ética Gubernamental y el cumplimiento con el Plan Estratégico </w:t>
      </w:r>
      <w:r w:rsidR="00EF6BB5">
        <w:rPr>
          <w:rFonts w:ascii="Arial" w:hAnsi="Arial" w:cs="Arial"/>
          <w:sz w:val="24"/>
          <w:szCs w:val="24"/>
          <w:lang w:val="es-ES_tradnl"/>
        </w:rPr>
        <w:t>de la Autoridad.</w:t>
      </w:r>
    </w:p>
    <w:sectPr w:rsidR="00570BDE" w:rsidRPr="00857734" w:rsidSect="000A590E">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583B1F" w14:textId="77777777" w:rsidR="008800AA" w:rsidRDefault="008800AA" w:rsidP="003517E6">
      <w:pPr>
        <w:spacing w:after="0" w:line="240" w:lineRule="auto"/>
      </w:pPr>
      <w:r>
        <w:separator/>
      </w:r>
    </w:p>
  </w:endnote>
  <w:endnote w:type="continuationSeparator" w:id="0">
    <w:p w14:paraId="3A32AE9D" w14:textId="77777777" w:rsidR="008800AA" w:rsidRDefault="008800AA" w:rsidP="00351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1C952" w14:textId="77777777" w:rsidR="008800AA" w:rsidRDefault="008800AA" w:rsidP="003517E6">
      <w:pPr>
        <w:spacing w:after="0" w:line="240" w:lineRule="auto"/>
      </w:pPr>
      <w:r>
        <w:separator/>
      </w:r>
    </w:p>
  </w:footnote>
  <w:footnote w:type="continuationSeparator" w:id="0">
    <w:p w14:paraId="71150E57" w14:textId="77777777" w:rsidR="008800AA" w:rsidRDefault="008800AA" w:rsidP="003517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0488B" w14:textId="77777777" w:rsidR="003517E6" w:rsidRPr="00076B51" w:rsidRDefault="00A305C2">
    <w:pPr>
      <w:pStyle w:val="Header"/>
      <w:rPr>
        <w:lang w:val="es-PR"/>
      </w:rPr>
    </w:pPr>
    <w:r w:rsidRPr="002377CE">
      <w:rPr>
        <w:lang w:val="es-PR"/>
      </w:rPr>
      <w:t xml:space="preserve">Autoridad de Acueductos y Alcantarillados – </w:t>
    </w:r>
    <w:r w:rsidR="000A590E">
      <w:rPr>
        <w:lang w:val="es-PR"/>
      </w:rPr>
      <w:t>Resumen Ejecutivo Principales Logros</w:t>
    </w:r>
    <w:r w:rsidR="00076B51">
      <w:rPr>
        <w:lang w:val="es-PR"/>
      </w:rPr>
      <w:t xml:space="preserve"> </w:t>
    </w:r>
    <w:r w:rsidR="000A590E">
      <w:rPr>
        <w:lang w:val="es-PR"/>
      </w:rPr>
      <w:t>2013-2016</w:t>
    </w:r>
    <w:r>
      <w:rPr>
        <w:rStyle w:val="Strong"/>
      </w:rPr>
      <w:ptab w:relativeTo="margin" w:alignment="right" w:leader="none"/>
    </w:r>
    <w:r>
      <w:rPr>
        <w:rStyle w:val="Strong"/>
      </w:rPr>
      <w:fldChar w:fldCharType="begin"/>
    </w:r>
    <w:r w:rsidRPr="002377CE">
      <w:rPr>
        <w:rStyle w:val="Strong"/>
        <w:lang w:val="es-PR"/>
      </w:rPr>
      <w:instrText xml:space="preserve"> PAGE   \* MERGEFORMAT </w:instrText>
    </w:r>
    <w:r>
      <w:rPr>
        <w:rStyle w:val="Strong"/>
      </w:rPr>
      <w:fldChar w:fldCharType="separate"/>
    </w:r>
    <w:r w:rsidR="00A261AB">
      <w:rPr>
        <w:rStyle w:val="Strong"/>
        <w:noProof/>
        <w:lang w:val="es-PR"/>
      </w:rPr>
      <w:t>6</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B7B69"/>
    <w:multiLevelType w:val="hybridMultilevel"/>
    <w:tmpl w:val="2D0C7D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075CEA"/>
    <w:multiLevelType w:val="hybridMultilevel"/>
    <w:tmpl w:val="87F410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9ED774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nsid w:val="4BF36B31"/>
    <w:multiLevelType w:val="hybridMultilevel"/>
    <w:tmpl w:val="0C743D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3A3F0E"/>
    <w:multiLevelType w:val="hybridMultilevel"/>
    <w:tmpl w:val="87486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486CF2"/>
    <w:multiLevelType w:val="hybridMultilevel"/>
    <w:tmpl w:val="90129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676914"/>
    <w:multiLevelType w:val="hybridMultilevel"/>
    <w:tmpl w:val="B08EDAC4"/>
    <w:lvl w:ilvl="0" w:tplc="3BE4E486">
      <w:start w:val="1"/>
      <w:numFmt w:val="lowerRoman"/>
      <w:lvlText w:val="%1."/>
      <w:lvlJc w:val="right"/>
      <w:pPr>
        <w:ind w:left="1080" w:hanging="360"/>
      </w:pPr>
      <w:rPr>
        <w:rFonts w:ascii="Arial" w:hAnsi="Arial" w:cs="Arial" w:hint="default"/>
        <w:b w:val="0"/>
        <w:sz w:val="24"/>
      </w:rPr>
    </w:lvl>
    <w:lvl w:ilvl="1" w:tplc="EA74262A">
      <w:start w:val="1"/>
      <w:numFmt w:val="lowerLetter"/>
      <w:lvlText w:val="%2."/>
      <w:lvlJc w:val="left"/>
      <w:pPr>
        <w:ind w:left="1800" w:hanging="360"/>
      </w:pPr>
      <w:rPr>
        <w:rFonts w:ascii="Arial" w:hAnsi="Arial" w:cs="Arial" w:hint="default"/>
        <w:b w:val="0"/>
      </w:rPr>
    </w:lvl>
    <w:lvl w:ilvl="2" w:tplc="0409001B">
      <w:start w:val="1"/>
      <w:numFmt w:val="lowerRoman"/>
      <w:lvlText w:val="%3."/>
      <w:lvlJc w:val="right"/>
      <w:pPr>
        <w:ind w:left="2520" w:hanging="180"/>
      </w:pPr>
    </w:lvl>
    <w:lvl w:ilvl="3" w:tplc="85162B42">
      <w:start w:val="1"/>
      <w:numFmt w:val="decimal"/>
      <w:lvlText w:val="%4."/>
      <w:lvlJc w:val="left"/>
      <w:pPr>
        <w:ind w:left="3240" w:hanging="360"/>
      </w:pPr>
      <w:rPr>
        <w:b w:val="0"/>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25C0D24"/>
    <w:multiLevelType w:val="hybridMultilevel"/>
    <w:tmpl w:val="9904C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E8485E"/>
    <w:multiLevelType w:val="hybridMultilevel"/>
    <w:tmpl w:val="22A68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8"/>
  </w:num>
  <w:num w:numId="5">
    <w:abstractNumId w:val="7"/>
  </w:num>
  <w:num w:numId="6">
    <w:abstractNumId w:val="3"/>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D0A"/>
    <w:rsid w:val="00076B51"/>
    <w:rsid w:val="000A590E"/>
    <w:rsid w:val="001E3D64"/>
    <w:rsid w:val="00205AD8"/>
    <w:rsid w:val="00221B0D"/>
    <w:rsid w:val="002A54D1"/>
    <w:rsid w:val="00347501"/>
    <w:rsid w:val="003517E6"/>
    <w:rsid w:val="00401C3B"/>
    <w:rsid w:val="00406A00"/>
    <w:rsid w:val="0041010A"/>
    <w:rsid w:val="0047019C"/>
    <w:rsid w:val="004C4232"/>
    <w:rsid w:val="00502A7B"/>
    <w:rsid w:val="00552F12"/>
    <w:rsid w:val="00570BDE"/>
    <w:rsid w:val="00600F78"/>
    <w:rsid w:val="006905EC"/>
    <w:rsid w:val="006A5D1E"/>
    <w:rsid w:val="00857734"/>
    <w:rsid w:val="00871F3B"/>
    <w:rsid w:val="008800AA"/>
    <w:rsid w:val="008B48F6"/>
    <w:rsid w:val="0095023D"/>
    <w:rsid w:val="00961838"/>
    <w:rsid w:val="00A261AB"/>
    <w:rsid w:val="00A305C2"/>
    <w:rsid w:val="00B74A56"/>
    <w:rsid w:val="00BC35C3"/>
    <w:rsid w:val="00BD3C69"/>
    <w:rsid w:val="00C82AF6"/>
    <w:rsid w:val="00CF50B7"/>
    <w:rsid w:val="00E2021F"/>
    <w:rsid w:val="00E4567C"/>
    <w:rsid w:val="00E46D0A"/>
    <w:rsid w:val="00EF6BB5"/>
    <w:rsid w:val="00F12225"/>
    <w:rsid w:val="00FB414B"/>
    <w:rsid w:val="00FE0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AD120"/>
  <w15:chartTrackingRefBased/>
  <w15:docId w15:val="{66DBDBCF-BB50-4691-87A2-CBC052DA3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D0A"/>
    <w:rPr>
      <w:rFonts w:eastAsiaTheme="minorEastAsia"/>
      <w:lang w:eastAsia="ja-JP"/>
    </w:rPr>
  </w:style>
  <w:style w:type="paragraph" w:styleId="Heading1">
    <w:name w:val="heading 1"/>
    <w:basedOn w:val="Normal"/>
    <w:next w:val="Normal"/>
    <w:link w:val="Heading1Char"/>
    <w:uiPriority w:val="9"/>
    <w:qFormat/>
    <w:rsid w:val="00E46D0A"/>
    <w:pPr>
      <w:keepNext/>
      <w:keepLines/>
      <w:numPr>
        <w:numId w:val="1"/>
      </w:numPr>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rsid w:val="00E46D0A"/>
    <w:pPr>
      <w:keepNext/>
      <w:keepLines/>
      <w:numPr>
        <w:ilvl w:val="1"/>
        <w:numId w:val="1"/>
      </w:numPr>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unhideWhenUsed/>
    <w:qFormat/>
    <w:rsid w:val="00E46D0A"/>
    <w:pPr>
      <w:keepNext/>
      <w:keepLines/>
      <w:numPr>
        <w:ilvl w:val="2"/>
        <w:numId w:val="1"/>
      </w:numPr>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unhideWhenUsed/>
    <w:qFormat/>
    <w:rsid w:val="00E46D0A"/>
    <w:pPr>
      <w:keepNext/>
      <w:keepLines/>
      <w:numPr>
        <w:ilvl w:val="3"/>
        <w:numId w:val="1"/>
      </w:numPr>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unhideWhenUsed/>
    <w:qFormat/>
    <w:rsid w:val="00E46D0A"/>
    <w:pPr>
      <w:keepNext/>
      <w:keepLines/>
      <w:numPr>
        <w:ilvl w:val="4"/>
        <w:numId w:val="1"/>
      </w:numPr>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E46D0A"/>
    <w:pPr>
      <w:keepNext/>
      <w:keepLines/>
      <w:numPr>
        <w:ilvl w:val="5"/>
        <w:numId w:val="1"/>
      </w:numPr>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E46D0A"/>
    <w:pPr>
      <w:keepNext/>
      <w:keepLines/>
      <w:numPr>
        <w:ilvl w:val="6"/>
        <w:numId w:val="1"/>
      </w:numPr>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E46D0A"/>
    <w:pPr>
      <w:keepNext/>
      <w:keepLines/>
      <w:numPr>
        <w:ilvl w:val="7"/>
        <w:numId w:val="1"/>
      </w:numPr>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E46D0A"/>
    <w:pPr>
      <w:keepNext/>
      <w:keepLines/>
      <w:numPr>
        <w:ilvl w:val="8"/>
        <w:numId w:val="1"/>
      </w:numPr>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6D0A"/>
    <w:rPr>
      <w:rFonts w:asciiTheme="majorHAnsi" w:eastAsiaTheme="majorEastAsia" w:hAnsiTheme="majorHAnsi" w:cstheme="majorBidi"/>
      <w:color w:val="2E74B5" w:themeColor="accent1" w:themeShade="BF"/>
      <w:sz w:val="30"/>
      <w:szCs w:val="30"/>
      <w:lang w:eastAsia="ja-JP"/>
    </w:rPr>
  </w:style>
  <w:style w:type="character" w:customStyle="1" w:styleId="Heading2Char">
    <w:name w:val="Heading 2 Char"/>
    <w:basedOn w:val="DefaultParagraphFont"/>
    <w:link w:val="Heading2"/>
    <w:uiPriority w:val="9"/>
    <w:rsid w:val="00E46D0A"/>
    <w:rPr>
      <w:rFonts w:asciiTheme="majorHAnsi" w:eastAsiaTheme="majorEastAsia" w:hAnsiTheme="majorHAnsi" w:cstheme="majorBidi"/>
      <w:color w:val="C45911" w:themeColor="accent2" w:themeShade="BF"/>
      <w:sz w:val="28"/>
      <w:szCs w:val="28"/>
      <w:lang w:eastAsia="ja-JP"/>
    </w:rPr>
  </w:style>
  <w:style w:type="character" w:customStyle="1" w:styleId="Heading3Char">
    <w:name w:val="Heading 3 Char"/>
    <w:basedOn w:val="DefaultParagraphFont"/>
    <w:link w:val="Heading3"/>
    <w:uiPriority w:val="9"/>
    <w:rsid w:val="00E46D0A"/>
    <w:rPr>
      <w:rFonts w:asciiTheme="majorHAnsi" w:eastAsiaTheme="majorEastAsia" w:hAnsiTheme="majorHAnsi" w:cstheme="majorBidi"/>
      <w:color w:val="538135" w:themeColor="accent6" w:themeShade="BF"/>
      <w:sz w:val="26"/>
      <w:szCs w:val="26"/>
      <w:lang w:eastAsia="ja-JP"/>
    </w:rPr>
  </w:style>
  <w:style w:type="character" w:customStyle="1" w:styleId="Heading4Char">
    <w:name w:val="Heading 4 Char"/>
    <w:basedOn w:val="DefaultParagraphFont"/>
    <w:link w:val="Heading4"/>
    <w:uiPriority w:val="9"/>
    <w:rsid w:val="00E46D0A"/>
    <w:rPr>
      <w:rFonts w:asciiTheme="majorHAnsi" w:eastAsiaTheme="majorEastAsia" w:hAnsiTheme="majorHAnsi" w:cstheme="majorBidi"/>
      <w:i/>
      <w:iCs/>
      <w:color w:val="2F5496" w:themeColor="accent5" w:themeShade="BF"/>
      <w:sz w:val="25"/>
      <w:szCs w:val="25"/>
      <w:lang w:eastAsia="ja-JP"/>
    </w:rPr>
  </w:style>
  <w:style w:type="character" w:customStyle="1" w:styleId="Heading5Char">
    <w:name w:val="Heading 5 Char"/>
    <w:basedOn w:val="DefaultParagraphFont"/>
    <w:link w:val="Heading5"/>
    <w:uiPriority w:val="9"/>
    <w:rsid w:val="00E46D0A"/>
    <w:rPr>
      <w:rFonts w:asciiTheme="majorHAnsi" w:eastAsiaTheme="majorEastAsia" w:hAnsiTheme="majorHAnsi" w:cstheme="majorBidi"/>
      <w:i/>
      <w:iCs/>
      <w:color w:val="833C0B" w:themeColor="accent2" w:themeShade="80"/>
      <w:sz w:val="24"/>
      <w:szCs w:val="24"/>
      <w:lang w:eastAsia="ja-JP"/>
    </w:rPr>
  </w:style>
  <w:style w:type="character" w:customStyle="1" w:styleId="Heading6Char">
    <w:name w:val="Heading 6 Char"/>
    <w:basedOn w:val="DefaultParagraphFont"/>
    <w:link w:val="Heading6"/>
    <w:uiPriority w:val="9"/>
    <w:semiHidden/>
    <w:rsid w:val="00E46D0A"/>
    <w:rPr>
      <w:rFonts w:asciiTheme="majorHAnsi" w:eastAsiaTheme="majorEastAsia" w:hAnsiTheme="majorHAnsi" w:cstheme="majorBidi"/>
      <w:i/>
      <w:iCs/>
      <w:color w:val="385623" w:themeColor="accent6" w:themeShade="80"/>
      <w:sz w:val="23"/>
      <w:szCs w:val="23"/>
      <w:lang w:eastAsia="ja-JP"/>
    </w:rPr>
  </w:style>
  <w:style w:type="character" w:customStyle="1" w:styleId="Heading7Char">
    <w:name w:val="Heading 7 Char"/>
    <w:basedOn w:val="DefaultParagraphFont"/>
    <w:link w:val="Heading7"/>
    <w:uiPriority w:val="9"/>
    <w:semiHidden/>
    <w:rsid w:val="00E46D0A"/>
    <w:rPr>
      <w:rFonts w:asciiTheme="majorHAnsi" w:eastAsiaTheme="majorEastAsia" w:hAnsiTheme="majorHAnsi" w:cstheme="majorBidi"/>
      <w:color w:val="1F4E79" w:themeColor="accent1" w:themeShade="80"/>
      <w:lang w:eastAsia="ja-JP"/>
    </w:rPr>
  </w:style>
  <w:style w:type="character" w:customStyle="1" w:styleId="Heading8Char">
    <w:name w:val="Heading 8 Char"/>
    <w:basedOn w:val="DefaultParagraphFont"/>
    <w:link w:val="Heading8"/>
    <w:uiPriority w:val="9"/>
    <w:semiHidden/>
    <w:rsid w:val="00E46D0A"/>
    <w:rPr>
      <w:rFonts w:asciiTheme="majorHAnsi" w:eastAsiaTheme="majorEastAsia" w:hAnsiTheme="majorHAnsi" w:cstheme="majorBidi"/>
      <w:color w:val="833C0B" w:themeColor="accent2" w:themeShade="80"/>
      <w:sz w:val="21"/>
      <w:szCs w:val="21"/>
      <w:lang w:eastAsia="ja-JP"/>
    </w:rPr>
  </w:style>
  <w:style w:type="character" w:customStyle="1" w:styleId="Heading9Char">
    <w:name w:val="Heading 9 Char"/>
    <w:basedOn w:val="DefaultParagraphFont"/>
    <w:link w:val="Heading9"/>
    <w:uiPriority w:val="9"/>
    <w:semiHidden/>
    <w:rsid w:val="00E46D0A"/>
    <w:rPr>
      <w:rFonts w:asciiTheme="majorHAnsi" w:eastAsiaTheme="majorEastAsia" w:hAnsiTheme="majorHAnsi" w:cstheme="majorBidi"/>
      <w:color w:val="385623" w:themeColor="accent6" w:themeShade="80"/>
      <w:lang w:eastAsia="ja-JP"/>
    </w:rPr>
  </w:style>
  <w:style w:type="paragraph" w:styleId="ListParagraph">
    <w:name w:val="List Paragraph"/>
    <w:basedOn w:val="Normal"/>
    <w:uiPriority w:val="34"/>
    <w:qFormat/>
    <w:rsid w:val="00E46D0A"/>
    <w:pPr>
      <w:ind w:left="720"/>
      <w:contextualSpacing/>
    </w:pPr>
  </w:style>
  <w:style w:type="character" w:styleId="Hyperlink">
    <w:name w:val="Hyperlink"/>
    <w:basedOn w:val="DefaultParagraphFont"/>
    <w:uiPriority w:val="99"/>
    <w:unhideWhenUsed/>
    <w:rsid w:val="00E46D0A"/>
    <w:rPr>
      <w:color w:val="0563C1" w:themeColor="hyperlink"/>
      <w:u w:val="single"/>
    </w:rPr>
  </w:style>
  <w:style w:type="paragraph" w:styleId="Header">
    <w:name w:val="header"/>
    <w:basedOn w:val="Normal"/>
    <w:link w:val="HeaderChar"/>
    <w:uiPriority w:val="99"/>
    <w:unhideWhenUsed/>
    <w:rsid w:val="003517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7E6"/>
    <w:rPr>
      <w:rFonts w:eastAsiaTheme="minorEastAsia"/>
      <w:lang w:eastAsia="ja-JP"/>
    </w:rPr>
  </w:style>
  <w:style w:type="paragraph" w:styleId="Footer">
    <w:name w:val="footer"/>
    <w:basedOn w:val="Normal"/>
    <w:link w:val="FooterChar"/>
    <w:uiPriority w:val="99"/>
    <w:unhideWhenUsed/>
    <w:rsid w:val="003517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7E6"/>
    <w:rPr>
      <w:rFonts w:eastAsiaTheme="minorEastAsia"/>
      <w:lang w:eastAsia="ja-JP"/>
    </w:rPr>
  </w:style>
  <w:style w:type="character" w:styleId="Strong">
    <w:name w:val="Strong"/>
    <w:basedOn w:val="DefaultParagraphFont"/>
    <w:uiPriority w:val="22"/>
    <w:qFormat/>
    <w:rsid w:val="00A305C2"/>
    <w:rPr>
      <w:b/>
      <w:bCs/>
    </w:rPr>
  </w:style>
  <w:style w:type="paragraph" w:styleId="BalloonText">
    <w:name w:val="Balloon Text"/>
    <w:basedOn w:val="Normal"/>
    <w:link w:val="BalloonTextChar"/>
    <w:uiPriority w:val="99"/>
    <w:semiHidden/>
    <w:unhideWhenUsed/>
    <w:rsid w:val="000A59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90E"/>
    <w:rPr>
      <w:rFonts w:ascii="Segoe UI" w:eastAsiaTheme="minorEastAsia" w:hAnsi="Segoe UI" w:cs="Segoe UI"/>
      <w:sz w:val="18"/>
      <w:szCs w:val="18"/>
      <w:lang w:eastAsia="ja-JP"/>
    </w:rPr>
  </w:style>
  <w:style w:type="character" w:styleId="CommentReference">
    <w:name w:val="annotation reference"/>
    <w:basedOn w:val="DefaultParagraphFont"/>
    <w:uiPriority w:val="99"/>
    <w:semiHidden/>
    <w:unhideWhenUsed/>
    <w:rsid w:val="00570BDE"/>
    <w:rPr>
      <w:sz w:val="16"/>
      <w:szCs w:val="16"/>
    </w:rPr>
  </w:style>
  <w:style w:type="paragraph" w:styleId="CommentText">
    <w:name w:val="annotation text"/>
    <w:basedOn w:val="Normal"/>
    <w:link w:val="CommentTextChar"/>
    <w:uiPriority w:val="99"/>
    <w:semiHidden/>
    <w:unhideWhenUsed/>
    <w:rsid w:val="00570BDE"/>
    <w:pPr>
      <w:spacing w:line="240" w:lineRule="auto"/>
    </w:pPr>
    <w:rPr>
      <w:sz w:val="20"/>
      <w:szCs w:val="20"/>
    </w:rPr>
  </w:style>
  <w:style w:type="character" w:customStyle="1" w:styleId="CommentTextChar">
    <w:name w:val="Comment Text Char"/>
    <w:basedOn w:val="DefaultParagraphFont"/>
    <w:link w:val="CommentText"/>
    <w:uiPriority w:val="99"/>
    <w:semiHidden/>
    <w:rsid w:val="00570BDE"/>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570BDE"/>
    <w:rPr>
      <w:b/>
      <w:bCs/>
    </w:rPr>
  </w:style>
  <w:style w:type="character" w:customStyle="1" w:styleId="CommentSubjectChar">
    <w:name w:val="Comment Subject Char"/>
    <w:basedOn w:val="CommentTextChar"/>
    <w:link w:val="CommentSubject"/>
    <w:uiPriority w:val="99"/>
    <w:semiHidden/>
    <w:rsid w:val="00570BDE"/>
    <w:rPr>
      <w:rFonts w:eastAsiaTheme="minorEastAsia"/>
      <w:b/>
      <w:bCs/>
      <w:sz w:val="20"/>
      <w:szCs w:val="20"/>
      <w:lang w:eastAsia="ja-JP"/>
    </w:rPr>
  </w:style>
  <w:style w:type="table" w:styleId="TableGrid">
    <w:name w:val="Table Grid"/>
    <w:basedOn w:val="TableNormal"/>
    <w:uiPriority w:val="39"/>
    <w:rsid w:val="00CF50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A5"/>
    <w:uiPriority w:val="99"/>
    <w:rsid w:val="006905EC"/>
    <w:rPr>
      <w:rFonts w:cs="Century Gothic"/>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cueductospr.com"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873B9994928E1488817CBA50D1048B4" ma:contentTypeVersion="0" ma:contentTypeDescription="Create a new document." ma:contentTypeScope="" ma:versionID="8c0f519d59ae57a024769234d1d96ce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01A5A4-A5A1-4E30-85C8-86D5CBF37ECD}"/>
</file>

<file path=customXml/itemProps2.xml><?xml version="1.0" encoding="utf-8"?>
<ds:datastoreItem xmlns:ds="http://schemas.openxmlformats.org/officeDocument/2006/customXml" ds:itemID="{6EF93C27-A8B9-4C33-B968-5A3BF2592FA9}"/>
</file>

<file path=customXml/itemProps3.xml><?xml version="1.0" encoding="utf-8"?>
<ds:datastoreItem xmlns:ds="http://schemas.openxmlformats.org/officeDocument/2006/customXml" ds:itemID="{E9BB6D92-2F13-41EC-9D8F-5FC01CE93C5D}"/>
</file>

<file path=customXml/itemProps4.xml><?xml version="1.0" encoding="utf-8"?>
<ds:datastoreItem xmlns:ds="http://schemas.openxmlformats.org/officeDocument/2006/customXml" ds:itemID="{81D1D31C-BE0A-4609-85D0-DD1F2E10F18A}"/>
</file>

<file path=docProps/app.xml><?xml version="1.0" encoding="utf-8"?>
<Properties xmlns="http://schemas.openxmlformats.org/officeDocument/2006/extended-properties" xmlns:vt="http://schemas.openxmlformats.org/officeDocument/2006/docPropsVTypes">
  <Template>Normal</Template>
  <TotalTime>0</TotalTime>
  <Pages>6</Pages>
  <Words>1876</Words>
  <Characters>10695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Rivera Rodriguez</dc:creator>
  <cp:keywords/>
  <dc:description/>
  <cp:lastModifiedBy>Mariam Rivera Rodriguez</cp:lastModifiedBy>
  <cp:revision>2</cp:revision>
  <cp:lastPrinted>2016-10-14T13:36:00Z</cp:lastPrinted>
  <dcterms:created xsi:type="dcterms:W3CDTF">2016-10-17T20:06:00Z</dcterms:created>
  <dcterms:modified xsi:type="dcterms:W3CDTF">2016-10-17T20:06:00Z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0x010100F873B9994928E1488817CBA50D1048B4</vt:lpwstr>
  </property>
</Properties>
</file>